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A7" w:rsidRPr="000B48A7" w:rsidRDefault="000B48A7" w:rsidP="000B48A7">
      <w:pPr>
        <w:spacing w:line="276" w:lineRule="auto"/>
        <w:jc w:val="center"/>
        <w:rPr>
          <w:sz w:val="28"/>
          <w:szCs w:val="28"/>
        </w:rPr>
      </w:pPr>
      <w:r w:rsidRPr="000B48A7">
        <w:rPr>
          <w:sz w:val="28"/>
          <w:szCs w:val="28"/>
        </w:rPr>
        <w:t>Interacting with Clients with</w:t>
      </w:r>
      <w:r>
        <w:rPr>
          <w:sz w:val="28"/>
          <w:szCs w:val="28"/>
        </w:rPr>
        <w:t xml:space="preserve"> </w:t>
      </w:r>
      <w:r w:rsidRPr="000B48A7">
        <w:rPr>
          <w:i/>
          <w:sz w:val="28"/>
          <w:szCs w:val="28"/>
        </w:rPr>
        <w:t>Possible</w:t>
      </w:r>
      <w:r w:rsidRPr="000B48A7">
        <w:rPr>
          <w:sz w:val="28"/>
          <w:szCs w:val="28"/>
        </w:rPr>
        <w:t xml:space="preserve"> Impairments</w:t>
      </w:r>
    </w:p>
    <w:p w:rsidR="00277737" w:rsidRPr="00277737" w:rsidRDefault="00277737" w:rsidP="00277737">
      <w:pPr>
        <w:spacing w:line="276" w:lineRule="auto"/>
        <w:jc w:val="center"/>
        <w:rPr>
          <w:sz w:val="28"/>
          <w:szCs w:val="28"/>
        </w:rPr>
      </w:pPr>
      <w:proofErr w:type="gramStart"/>
      <w:r w:rsidRPr="00277737">
        <w:rPr>
          <w:sz w:val="28"/>
          <w:szCs w:val="28"/>
        </w:rPr>
        <w:t>by</w:t>
      </w:r>
      <w:proofErr w:type="gramEnd"/>
      <w:r w:rsidRPr="00277737">
        <w:rPr>
          <w:sz w:val="28"/>
          <w:szCs w:val="28"/>
        </w:rPr>
        <w:t xml:space="preserve"> Jerome </w:t>
      </w:r>
      <w:proofErr w:type="spellStart"/>
      <w:r w:rsidRPr="00277737">
        <w:rPr>
          <w:sz w:val="28"/>
          <w:szCs w:val="28"/>
        </w:rPr>
        <w:t>Fishkin</w:t>
      </w:r>
      <w:proofErr w:type="spellEnd"/>
      <w:r w:rsidRPr="00277737">
        <w:rPr>
          <w:sz w:val="28"/>
          <w:szCs w:val="28"/>
        </w:rPr>
        <w:t xml:space="preserve"> &amp; Lindsay </w:t>
      </w:r>
      <w:proofErr w:type="spellStart"/>
      <w:r w:rsidRPr="00277737">
        <w:rPr>
          <w:sz w:val="28"/>
          <w:szCs w:val="28"/>
        </w:rPr>
        <w:t>Slatter</w:t>
      </w:r>
      <w:proofErr w:type="spellEnd"/>
    </w:p>
    <w:p w:rsidR="00277737" w:rsidRPr="00277737" w:rsidRDefault="00277737" w:rsidP="00277737">
      <w:pPr>
        <w:spacing w:line="276" w:lineRule="auto"/>
        <w:jc w:val="center"/>
        <w:rPr>
          <w:sz w:val="28"/>
          <w:szCs w:val="28"/>
        </w:rPr>
      </w:pPr>
      <w:r w:rsidRPr="00277737">
        <w:rPr>
          <w:sz w:val="28"/>
          <w:szCs w:val="28"/>
        </w:rPr>
        <w:t>ALRP Spring 2011 MCLE</w:t>
      </w:r>
    </w:p>
    <w:p w:rsidR="00277737" w:rsidRPr="00277737" w:rsidRDefault="00277737" w:rsidP="00277737">
      <w:pPr>
        <w:spacing w:line="276" w:lineRule="auto"/>
        <w:jc w:val="center"/>
        <w:rPr>
          <w:sz w:val="28"/>
          <w:szCs w:val="28"/>
        </w:rPr>
      </w:pPr>
      <w:r w:rsidRPr="00277737">
        <w:rPr>
          <w:sz w:val="28"/>
          <w:szCs w:val="28"/>
        </w:rPr>
        <w:t>May 24, 2011</w:t>
      </w:r>
    </w:p>
    <w:p w:rsidR="00A96790" w:rsidRPr="00277737" w:rsidRDefault="00A96790" w:rsidP="00277737">
      <w:pPr>
        <w:spacing w:line="276" w:lineRule="auto"/>
        <w:rPr>
          <w:sz w:val="28"/>
          <w:szCs w:val="28"/>
        </w:rPr>
      </w:pPr>
    </w:p>
    <w:p w:rsidR="00A461EA" w:rsidRPr="00277737" w:rsidRDefault="00A96790" w:rsidP="00277737">
      <w:pPr>
        <w:spacing w:line="276" w:lineRule="auto"/>
        <w:ind w:left="360"/>
        <w:jc w:val="center"/>
        <w:rPr>
          <w:b/>
          <w:sz w:val="28"/>
          <w:szCs w:val="28"/>
          <w:u w:val="single"/>
        </w:rPr>
      </w:pPr>
      <w:r w:rsidRPr="00277737">
        <w:rPr>
          <w:b/>
          <w:sz w:val="28"/>
          <w:szCs w:val="28"/>
          <w:u w:val="single"/>
        </w:rPr>
        <w:t>Fundamental Dilemma:</w:t>
      </w:r>
    </w:p>
    <w:p w:rsidR="00A461EA" w:rsidRPr="00277737" w:rsidRDefault="00A461EA" w:rsidP="00277737">
      <w:pPr>
        <w:spacing w:line="276" w:lineRule="auto"/>
        <w:ind w:left="360"/>
        <w:rPr>
          <w:sz w:val="28"/>
          <w:szCs w:val="28"/>
        </w:rPr>
      </w:pPr>
      <w:r w:rsidRPr="00277737">
        <w:rPr>
          <w:sz w:val="28"/>
          <w:szCs w:val="28"/>
        </w:rPr>
        <w:t xml:space="preserve">All adults are presumed competent to make decisions for </w:t>
      </w:r>
      <w:proofErr w:type="gramStart"/>
      <w:r w:rsidRPr="00277737">
        <w:rPr>
          <w:sz w:val="28"/>
          <w:szCs w:val="28"/>
        </w:rPr>
        <w:t>themselves</w:t>
      </w:r>
      <w:proofErr w:type="gramEnd"/>
      <w:r w:rsidRPr="00277737">
        <w:rPr>
          <w:sz w:val="28"/>
          <w:szCs w:val="28"/>
        </w:rPr>
        <w:t>.  The degree of impairment necessary to contradict that state differs in accord with the sort of decisions being made.  The determination of impairment is sometimes left up to the attorney.  The choice of remedies is often uncertain.</w:t>
      </w:r>
    </w:p>
    <w:p w:rsidR="00A461EA" w:rsidRPr="00277737" w:rsidRDefault="00A461EA" w:rsidP="00277737">
      <w:pPr>
        <w:spacing w:line="276" w:lineRule="auto"/>
        <w:ind w:left="360"/>
        <w:rPr>
          <w:sz w:val="28"/>
          <w:szCs w:val="28"/>
        </w:rPr>
      </w:pPr>
    </w:p>
    <w:p w:rsidR="0008092C" w:rsidRPr="00277737" w:rsidRDefault="00A461EA" w:rsidP="00277737">
      <w:pPr>
        <w:spacing w:line="276" w:lineRule="auto"/>
        <w:ind w:left="360"/>
        <w:jc w:val="center"/>
        <w:rPr>
          <w:b/>
          <w:sz w:val="28"/>
          <w:szCs w:val="28"/>
          <w:u w:val="single"/>
        </w:rPr>
      </w:pPr>
      <w:r w:rsidRPr="00277737">
        <w:rPr>
          <w:b/>
          <w:sz w:val="28"/>
          <w:szCs w:val="28"/>
          <w:u w:val="single"/>
        </w:rPr>
        <w:t>The Basics</w:t>
      </w:r>
    </w:p>
    <w:p w:rsidR="0008092C" w:rsidRPr="00277737" w:rsidRDefault="0008092C" w:rsidP="00277737">
      <w:pPr>
        <w:spacing w:line="276" w:lineRule="auto"/>
        <w:ind w:left="360"/>
        <w:rPr>
          <w:sz w:val="28"/>
          <w:szCs w:val="28"/>
        </w:rPr>
      </w:pPr>
    </w:p>
    <w:p w:rsidR="0008092C" w:rsidRPr="00277737" w:rsidRDefault="00277737" w:rsidP="00277737">
      <w:pPr>
        <w:spacing w:line="276" w:lineRule="auto"/>
        <w:ind w:left="360"/>
        <w:rPr>
          <w:sz w:val="28"/>
          <w:szCs w:val="28"/>
        </w:rPr>
      </w:pPr>
      <w:proofErr w:type="gramStart"/>
      <w:r w:rsidRPr="00277737">
        <w:rPr>
          <w:rStyle w:val="documentbody"/>
          <w:sz w:val="28"/>
          <w:szCs w:val="28"/>
        </w:rPr>
        <w:t>Prob.</w:t>
      </w:r>
      <w:r>
        <w:rPr>
          <w:rStyle w:val="documentbody"/>
          <w:sz w:val="28"/>
          <w:szCs w:val="28"/>
        </w:rPr>
        <w:t xml:space="preserve"> </w:t>
      </w:r>
      <w:r w:rsidRPr="00277737">
        <w:rPr>
          <w:rStyle w:val="documentbody"/>
          <w:sz w:val="28"/>
          <w:szCs w:val="28"/>
        </w:rPr>
        <w:t>Code</w:t>
      </w:r>
      <w:r w:rsidR="0008092C" w:rsidRPr="00277737">
        <w:rPr>
          <w:rStyle w:val="documentbody"/>
          <w:sz w:val="28"/>
          <w:szCs w:val="28"/>
        </w:rPr>
        <w:t xml:space="preserve"> </w:t>
      </w:r>
      <w:r w:rsidR="0008092C" w:rsidRPr="00277737">
        <w:rPr>
          <w:rStyle w:val="Strong"/>
          <w:b w:val="0"/>
          <w:sz w:val="28"/>
          <w:szCs w:val="28"/>
        </w:rPr>
        <w:t>§ 810.</w:t>
      </w:r>
      <w:proofErr w:type="gramEnd"/>
      <w:r w:rsidR="0008092C" w:rsidRPr="00277737">
        <w:rPr>
          <w:rStyle w:val="Strong"/>
          <w:sz w:val="28"/>
          <w:szCs w:val="28"/>
        </w:rPr>
        <w:t xml:space="preserve">  “</w:t>
      </w:r>
      <w:r w:rsidR="0008092C" w:rsidRPr="00277737">
        <w:rPr>
          <w:sz w:val="28"/>
          <w:szCs w:val="28"/>
        </w:rPr>
        <w:t>The Legislature finds and declares the following:</w:t>
      </w:r>
    </w:p>
    <w:p w:rsidR="0008092C" w:rsidRPr="00277737" w:rsidRDefault="0008092C" w:rsidP="00277737">
      <w:pPr>
        <w:spacing w:line="276" w:lineRule="auto"/>
        <w:ind w:left="360"/>
        <w:rPr>
          <w:sz w:val="28"/>
          <w:szCs w:val="28"/>
        </w:rPr>
      </w:pPr>
      <w:r w:rsidRPr="00277737">
        <w:rPr>
          <w:sz w:val="28"/>
          <w:szCs w:val="28"/>
        </w:rPr>
        <w:t xml:space="preserve">“(a) </w:t>
      </w:r>
      <w:proofErr w:type="gramStart"/>
      <w:r w:rsidRPr="00277737">
        <w:rPr>
          <w:sz w:val="28"/>
          <w:szCs w:val="28"/>
        </w:rPr>
        <w:t>For</w:t>
      </w:r>
      <w:proofErr w:type="gramEnd"/>
      <w:r w:rsidRPr="00277737">
        <w:rPr>
          <w:sz w:val="28"/>
          <w:szCs w:val="28"/>
        </w:rPr>
        <w:t xml:space="preserve"> purposes of this part, there shall exist a rebuttable presumption affecting the burden of proof that all persons have the capacity to make decisions and to be responsible for their acts or decisions.” ****</w:t>
      </w:r>
    </w:p>
    <w:p w:rsidR="0008092C" w:rsidRPr="00277737" w:rsidRDefault="0008092C" w:rsidP="00277737">
      <w:pPr>
        <w:spacing w:line="276" w:lineRule="auto"/>
        <w:rPr>
          <w:sz w:val="28"/>
          <w:szCs w:val="28"/>
        </w:rPr>
      </w:pPr>
    </w:p>
    <w:p w:rsidR="0008092C" w:rsidRPr="00277737" w:rsidRDefault="0008092C" w:rsidP="00277737">
      <w:pPr>
        <w:spacing w:line="276" w:lineRule="auto"/>
        <w:ind w:left="360"/>
        <w:rPr>
          <w:rFonts w:eastAsia="Times New Roman"/>
          <w:sz w:val="28"/>
          <w:szCs w:val="28"/>
        </w:rPr>
      </w:pPr>
      <w:proofErr w:type="spellStart"/>
      <w:r w:rsidRPr="00277737">
        <w:rPr>
          <w:rFonts w:eastAsia="Times New Roman"/>
          <w:sz w:val="28"/>
          <w:szCs w:val="28"/>
        </w:rPr>
        <w:t>Prob</w:t>
      </w:r>
      <w:proofErr w:type="spellEnd"/>
      <w:r w:rsidRPr="00277737">
        <w:rPr>
          <w:rFonts w:eastAsia="Times New Roman"/>
          <w:sz w:val="28"/>
          <w:szCs w:val="28"/>
        </w:rPr>
        <w:t xml:space="preserve"> C 812 "Except where otherwise provided by law, including, but not limited to, Section 813 and the statutory and decisional law of testamentary capacity, a person lacks the capacity to make a decision unless the person has the ability to communicate verbally, or by any other means, the decision, and to understand and appreciate, to the extent relevant, all of the following:</w:t>
      </w:r>
    </w:p>
    <w:p w:rsidR="0008092C" w:rsidRPr="00277737" w:rsidRDefault="0008092C" w:rsidP="00277737">
      <w:pPr>
        <w:spacing w:line="276" w:lineRule="auto"/>
        <w:ind w:left="360"/>
        <w:rPr>
          <w:rFonts w:eastAsia="Times New Roman"/>
          <w:sz w:val="28"/>
          <w:szCs w:val="28"/>
        </w:rPr>
      </w:pPr>
    </w:p>
    <w:p w:rsidR="0008092C" w:rsidRPr="00277737" w:rsidRDefault="0008092C" w:rsidP="00277737">
      <w:pPr>
        <w:spacing w:line="276" w:lineRule="auto"/>
        <w:ind w:left="720"/>
        <w:rPr>
          <w:rFonts w:eastAsia="Times New Roman"/>
          <w:sz w:val="28"/>
          <w:szCs w:val="28"/>
        </w:rPr>
      </w:pPr>
      <w:r w:rsidRPr="00277737">
        <w:rPr>
          <w:rFonts w:eastAsia="Times New Roman"/>
          <w:sz w:val="28"/>
          <w:szCs w:val="28"/>
        </w:rPr>
        <w:t>(a) The rights, duties, and responsibilities created by, or affected by the decision.</w:t>
      </w:r>
    </w:p>
    <w:p w:rsidR="0008092C" w:rsidRPr="00277737" w:rsidRDefault="0008092C" w:rsidP="00277737">
      <w:pPr>
        <w:spacing w:line="276" w:lineRule="auto"/>
        <w:ind w:left="720"/>
        <w:rPr>
          <w:rFonts w:eastAsia="Times New Roman"/>
          <w:sz w:val="28"/>
          <w:szCs w:val="28"/>
        </w:rPr>
      </w:pPr>
    </w:p>
    <w:p w:rsidR="0008092C" w:rsidRPr="00277737" w:rsidRDefault="0008092C" w:rsidP="00277737">
      <w:pPr>
        <w:spacing w:line="276" w:lineRule="auto"/>
        <w:ind w:left="720"/>
        <w:rPr>
          <w:rFonts w:eastAsia="Times New Roman"/>
          <w:sz w:val="28"/>
          <w:szCs w:val="28"/>
        </w:rPr>
      </w:pPr>
      <w:r w:rsidRPr="00277737">
        <w:rPr>
          <w:rFonts w:eastAsia="Times New Roman"/>
          <w:sz w:val="28"/>
          <w:szCs w:val="28"/>
        </w:rPr>
        <w:t>(b) The probable consequences for the decision maker and, where appropriate, the persons affected by the decision.</w:t>
      </w:r>
    </w:p>
    <w:p w:rsidR="0008092C" w:rsidRPr="00277737" w:rsidRDefault="0008092C" w:rsidP="00277737">
      <w:pPr>
        <w:spacing w:line="276" w:lineRule="auto"/>
        <w:ind w:left="720"/>
        <w:rPr>
          <w:rFonts w:eastAsia="Times New Roman"/>
          <w:sz w:val="28"/>
          <w:szCs w:val="28"/>
        </w:rPr>
      </w:pPr>
    </w:p>
    <w:p w:rsidR="0008092C" w:rsidRPr="00277737" w:rsidRDefault="0008092C" w:rsidP="00277737">
      <w:pPr>
        <w:spacing w:line="276" w:lineRule="auto"/>
        <w:ind w:left="720"/>
        <w:rPr>
          <w:rFonts w:eastAsia="Times New Roman"/>
          <w:sz w:val="28"/>
          <w:szCs w:val="28"/>
        </w:rPr>
      </w:pPr>
      <w:r w:rsidRPr="00277737">
        <w:rPr>
          <w:rFonts w:eastAsia="Times New Roman"/>
          <w:sz w:val="28"/>
          <w:szCs w:val="28"/>
        </w:rPr>
        <w:t>(c) The significant risks, benefits, and reasonable alternatives involved in the decision</w:t>
      </w:r>
    </w:p>
    <w:p w:rsidR="0008092C" w:rsidRPr="00277737" w:rsidRDefault="0008092C" w:rsidP="00277737">
      <w:pPr>
        <w:spacing w:line="276" w:lineRule="auto"/>
        <w:ind w:left="360"/>
        <w:rPr>
          <w:rFonts w:eastAsia="Times New Roman"/>
          <w:sz w:val="28"/>
          <w:szCs w:val="28"/>
        </w:rPr>
      </w:pPr>
    </w:p>
    <w:p w:rsidR="0008092C" w:rsidRPr="00277737" w:rsidRDefault="0008092C" w:rsidP="00277737">
      <w:pPr>
        <w:spacing w:line="276" w:lineRule="auto"/>
        <w:ind w:left="360"/>
        <w:jc w:val="center"/>
        <w:rPr>
          <w:rFonts w:eastAsia="Times New Roman"/>
          <w:b/>
          <w:sz w:val="28"/>
          <w:szCs w:val="28"/>
          <w:u w:val="single"/>
        </w:rPr>
      </w:pPr>
      <w:r w:rsidRPr="00277737">
        <w:rPr>
          <w:rFonts w:eastAsia="Times New Roman"/>
          <w:b/>
          <w:sz w:val="28"/>
          <w:szCs w:val="28"/>
          <w:u w:val="single"/>
        </w:rPr>
        <w:lastRenderedPageBreak/>
        <w:t>Contract Capacity</w:t>
      </w:r>
    </w:p>
    <w:p w:rsidR="00277737" w:rsidRPr="00277737" w:rsidRDefault="00277737" w:rsidP="00277737">
      <w:pPr>
        <w:spacing w:line="276" w:lineRule="auto"/>
        <w:ind w:left="360"/>
        <w:rPr>
          <w:rFonts w:eastAsia="Times New Roman"/>
          <w:b/>
          <w:sz w:val="28"/>
          <w:szCs w:val="28"/>
        </w:rPr>
      </w:pPr>
    </w:p>
    <w:p w:rsidR="003C4675" w:rsidRPr="00277737" w:rsidRDefault="003C4675" w:rsidP="00277737">
      <w:pPr>
        <w:spacing w:line="276" w:lineRule="auto"/>
        <w:ind w:left="360"/>
        <w:rPr>
          <w:rFonts w:eastAsia="Times New Roman"/>
          <w:sz w:val="28"/>
          <w:szCs w:val="28"/>
        </w:rPr>
      </w:pPr>
      <w:proofErr w:type="gramStart"/>
      <w:r w:rsidRPr="00277737">
        <w:rPr>
          <w:rFonts w:eastAsia="Times New Roman"/>
          <w:b/>
          <w:sz w:val="28"/>
          <w:szCs w:val="28"/>
        </w:rPr>
        <w:t>Sullivan v Dunne (1926) 198 Cal 183.</w:t>
      </w:r>
      <w:proofErr w:type="gramEnd"/>
      <w:r w:rsidRPr="00277737">
        <w:rPr>
          <w:rFonts w:eastAsia="Times New Roman"/>
          <w:b/>
          <w:sz w:val="28"/>
          <w:szCs w:val="28"/>
        </w:rPr>
        <w:t xml:space="preserve">  </w:t>
      </w:r>
      <w:r w:rsidRPr="00277737">
        <w:rPr>
          <w:rFonts w:eastAsia="Times New Roman"/>
          <w:sz w:val="28"/>
          <w:szCs w:val="28"/>
        </w:rPr>
        <w:t>Client must have contract capacity to employ an attorney.  If capacity is lost during the relationship, the power of the attorney to act also terminates.</w:t>
      </w:r>
    </w:p>
    <w:p w:rsidR="0008092C" w:rsidRPr="00277737" w:rsidRDefault="0008092C" w:rsidP="00277737">
      <w:pPr>
        <w:spacing w:line="276" w:lineRule="auto"/>
        <w:rPr>
          <w:sz w:val="28"/>
          <w:szCs w:val="28"/>
        </w:rPr>
      </w:pPr>
    </w:p>
    <w:p w:rsidR="00C10CEA" w:rsidRPr="00277737" w:rsidRDefault="0008092C" w:rsidP="00277737">
      <w:pPr>
        <w:spacing w:line="276" w:lineRule="auto"/>
        <w:ind w:left="360"/>
        <w:rPr>
          <w:rFonts w:eastAsia="Times New Roman"/>
          <w:sz w:val="28"/>
          <w:szCs w:val="28"/>
        </w:rPr>
      </w:pPr>
      <w:proofErr w:type="spellStart"/>
      <w:r w:rsidRPr="00277737">
        <w:rPr>
          <w:rFonts w:eastAsia="Times New Roman"/>
          <w:sz w:val="28"/>
          <w:szCs w:val="28"/>
        </w:rPr>
        <w:t>C</w:t>
      </w:r>
      <w:r w:rsidR="00C10CEA" w:rsidRPr="00277737">
        <w:rPr>
          <w:rFonts w:eastAsia="Times New Roman"/>
          <w:sz w:val="28"/>
          <w:szCs w:val="28"/>
        </w:rPr>
        <w:t>iv</w:t>
      </w:r>
      <w:proofErr w:type="spellEnd"/>
      <w:r w:rsidR="00C10CEA" w:rsidRPr="00277737">
        <w:rPr>
          <w:rFonts w:eastAsia="Times New Roman"/>
          <w:sz w:val="28"/>
          <w:szCs w:val="28"/>
        </w:rPr>
        <w:t xml:space="preserve"> C 1556 Minors and per</w:t>
      </w:r>
      <w:r w:rsidRPr="00277737">
        <w:rPr>
          <w:rFonts w:eastAsia="Times New Roman"/>
          <w:sz w:val="28"/>
          <w:szCs w:val="28"/>
        </w:rPr>
        <w:t>s</w:t>
      </w:r>
      <w:r w:rsidR="00C10CEA" w:rsidRPr="00277737">
        <w:rPr>
          <w:rFonts w:eastAsia="Times New Roman"/>
          <w:sz w:val="28"/>
          <w:szCs w:val="28"/>
        </w:rPr>
        <w:t>ons of unsound mind are not capable of entering into contracts.</w:t>
      </w:r>
    </w:p>
    <w:p w:rsidR="0008092C" w:rsidRPr="00277737" w:rsidRDefault="0008092C" w:rsidP="00277737">
      <w:pPr>
        <w:spacing w:line="276" w:lineRule="auto"/>
        <w:ind w:left="360"/>
        <w:rPr>
          <w:rFonts w:eastAsia="Times New Roman"/>
          <w:sz w:val="28"/>
          <w:szCs w:val="28"/>
        </w:rPr>
      </w:pPr>
      <w:proofErr w:type="spellStart"/>
      <w:r w:rsidRPr="00277737">
        <w:rPr>
          <w:sz w:val="28"/>
          <w:szCs w:val="28"/>
        </w:rPr>
        <w:t>Fam</w:t>
      </w:r>
      <w:proofErr w:type="spellEnd"/>
      <w:r w:rsidRPr="00277737">
        <w:rPr>
          <w:sz w:val="28"/>
          <w:szCs w:val="28"/>
        </w:rPr>
        <w:t xml:space="preserve"> C 6501: an adult is a person over age of 18.</w:t>
      </w:r>
      <w:r w:rsidRPr="00277737">
        <w:rPr>
          <w:rFonts w:eastAsia="Times New Roman"/>
          <w:sz w:val="28"/>
          <w:szCs w:val="28"/>
        </w:rPr>
        <w:t xml:space="preserve"> </w:t>
      </w:r>
    </w:p>
    <w:p w:rsidR="0008092C" w:rsidRPr="00277737" w:rsidRDefault="0008092C" w:rsidP="00277737">
      <w:pPr>
        <w:spacing w:line="276" w:lineRule="auto"/>
        <w:ind w:left="360"/>
        <w:rPr>
          <w:rFonts w:eastAsia="Times New Roman"/>
          <w:sz w:val="28"/>
          <w:szCs w:val="28"/>
        </w:rPr>
      </w:pPr>
    </w:p>
    <w:p w:rsidR="00C10CEA" w:rsidRPr="00277737" w:rsidRDefault="00C10CEA" w:rsidP="00277737">
      <w:pPr>
        <w:spacing w:line="276" w:lineRule="auto"/>
        <w:ind w:left="360"/>
        <w:rPr>
          <w:sz w:val="28"/>
          <w:szCs w:val="28"/>
        </w:rPr>
      </w:pPr>
      <w:proofErr w:type="spellStart"/>
      <w:r w:rsidRPr="00277737">
        <w:rPr>
          <w:sz w:val="28"/>
          <w:szCs w:val="28"/>
        </w:rPr>
        <w:t>Civ</w:t>
      </w:r>
      <w:proofErr w:type="spellEnd"/>
      <w:r w:rsidRPr="00277737">
        <w:rPr>
          <w:sz w:val="28"/>
          <w:szCs w:val="28"/>
        </w:rPr>
        <w:t xml:space="preserve"> C 1557(b) Capacity of people with unsound mind governed by </w:t>
      </w:r>
      <w:proofErr w:type="spellStart"/>
      <w:r w:rsidRPr="00277737">
        <w:rPr>
          <w:sz w:val="28"/>
          <w:szCs w:val="28"/>
        </w:rPr>
        <w:t>Civ</w:t>
      </w:r>
      <w:proofErr w:type="spellEnd"/>
      <w:r w:rsidRPr="00277737">
        <w:rPr>
          <w:sz w:val="28"/>
          <w:szCs w:val="28"/>
        </w:rPr>
        <w:t xml:space="preserve"> C 38, </w:t>
      </w:r>
      <w:proofErr w:type="gramStart"/>
      <w:r w:rsidRPr="00277737">
        <w:rPr>
          <w:sz w:val="28"/>
          <w:szCs w:val="28"/>
        </w:rPr>
        <w:t>et</w:t>
      </w:r>
      <w:proofErr w:type="gramEnd"/>
      <w:r w:rsidRPr="00277737">
        <w:rPr>
          <w:sz w:val="28"/>
          <w:szCs w:val="28"/>
        </w:rPr>
        <w:t xml:space="preserve"> </w:t>
      </w:r>
      <w:proofErr w:type="spellStart"/>
      <w:r w:rsidRPr="00277737">
        <w:rPr>
          <w:sz w:val="28"/>
          <w:szCs w:val="28"/>
        </w:rPr>
        <w:t>seq</w:t>
      </w:r>
      <w:proofErr w:type="spellEnd"/>
    </w:p>
    <w:p w:rsidR="00A461EA" w:rsidRPr="00277737" w:rsidRDefault="00A461EA" w:rsidP="00277737">
      <w:pPr>
        <w:spacing w:line="276" w:lineRule="auto"/>
        <w:ind w:left="360"/>
        <w:rPr>
          <w:color w:val="000000"/>
          <w:sz w:val="28"/>
          <w:szCs w:val="28"/>
        </w:rPr>
      </w:pPr>
      <w:proofErr w:type="spellStart"/>
      <w:r w:rsidRPr="00277737">
        <w:rPr>
          <w:sz w:val="28"/>
          <w:szCs w:val="28"/>
        </w:rPr>
        <w:t>Civ</w:t>
      </w:r>
      <w:proofErr w:type="spellEnd"/>
      <w:r w:rsidRPr="00277737">
        <w:rPr>
          <w:sz w:val="28"/>
          <w:szCs w:val="28"/>
        </w:rPr>
        <w:t xml:space="preserve"> C 38 "</w:t>
      </w:r>
      <w:r w:rsidRPr="00277737">
        <w:rPr>
          <w:color w:val="000000"/>
          <w:sz w:val="28"/>
          <w:szCs w:val="28"/>
        </w:rPr>
        <w:t>A person entirely without understanding has no power to make a contract of any kind"</w:t>
      </w:r>
    </w:p>
    <w:p w:rsidR="00A461EA" w:rsidRPr="00277737" w:rsidRDefault="0008092C" w:rsidP="00277737">
      <w:pPr>
        <w:spacing w:line="276" w:lineRule="auto"/>
        <w:ind w:left="360"/>
        <w:rPr>
          <w:color w:val="000000"/>
          <w:sz w:val="28"/>
          <w:szCs w:val="28"/>
        </w:rPr>
      </w:pPr>
      <w:proofErr w:type="spellStart"/>
      <w:r w:rsidRPr="00277737">
        <w:rPr>
          <w:color w:val="000000"/>
          <w:sz w:val="28"/>
          <w:szCs w:val="28"/>
        </w:rPr>
        <w:t>Civ</w:t>
      </w:r>
      <w:proofErr w:type="spellEnd"/>
      <w:r w:rsidRPr="00277737">
        <w:rPr>
          <w:color w:val="000000"/>
          <w:sz w:val="28"/>
          <w:szCs w:val="28"/>
        </w:rPr>
        <w:t xml:space="preserve"> C 39(a)</w:t>
      </w:r>
      <w:r w:rsidR="00A461EA" w:rsidRPr="00277737">
        <w:rPr>
          <w:color w:val="000000"/>
          <w:sz w:val="28"/>
          <w:szCs w:val="28"/>
        </w:rPr>
        <w:t xml:space="preserve"> a contract made a person who has some understanding, but is of unsound mind, may be rescinded</w:t>
      </w:r>
    </w:p>
    <w:p w:rsidR="00A461EA" w:rsidRPr="00277737" w:rsidRDefault="00A461EA" w:rsidP="00277737">
      <w:pPr>
        <w:spacing w:line="276" w:lineRule="auto"/>
        <w:ind w:left="360"/>
        <w:rPr>
          <w:color w:val="000000"/>
          <w:sz w:val="28"/>
          <w:szCs w:val="28"/>
        </w:rPr>
      </w:pPr>
      <w:proofErr w:type="spellStart"/>
      <w:r w:rsidRPr="00277737">
        <w:rPr>
          <w:color w:val="000000"/>
          <w:sz w:val="28"/>
          <w:szCs w:val="28"/>
        </w:rPr>
        <w:t>Ci</w:t>
      </w:r>
      <w:r w:rsidR="0008092C" w:rsidRPr="00277737">
        <w:rPr>
          <w:color w:val="000000"/>
          <w:sz w:val="28"/>
          <w:szCs w:val="28"/>
        </w:rPr>
        <w:t>v</w:t>
      </w:r>
      <w:proofErr w:type="spellEnd"/>
      <w:r w:rsidR="0008092C" w:rsidRPr="00277737">
        <w:rPr>
          <w:color w:val="000000"/>
          <w:sz w:val="28"/>
          <w:szCs w:val="28"/>
        </w:rPr>
        <w:t xml:space="preserve"> C 39(b) </w:t>
      </w:r>
      <w:proofErr w:type="gramStart"/>
      <w:r w:rsidR="0008092C" w:rsidRPr="00277737">
        <w:rPr>
          <w:color w:val="000000"/>
          <w:sz w:val="28"/>
          <w:szCs w:val="28"/>
        </w:rPr>
        <w:t>A</w:t>
      </w:r>
      <w:proofErr w:type="gramEnd"/>
      <w:r w:rsidR="0008092C" w:rsidRPr="00277737">
        <w:rPr>
          <w:color w:val="000000"/>
          <w:sz w:val="28"/>
          <w:szCs w:val="28"/>
        </w:rPr>
        <w:t xml:space="preserve"> person is of unsoun</w:t>
      </w:r>
      <w:r w:rsidRPr="00277737">
        <w:rPr>
          <w:color w:val="000000"/>
          <w:sz w:val="28"/>
          <w:szCs w:val="28"/>
        </w:rPr>
        <w:t>d mind "if the person is substantially unable to manage his or her own financial resources or resist fraud or undue influence."</w:t>
      </w:r>
    </w:p>
    <w:p w:rsidR="0008092C" w:rsidRPr="00277737" w:rsidRDefault="0008092C" w:rsidP="00277737">
      <w:pPr>
        <w:spacing w:line="276" w:lineRule="auto"/>
        <w:ind w:left="360"/>
        <w:rPr>
          <w:color w:val="000000"/>
          <w:sz w:val="28"/>
          <w:szCs w:val="28"/>
        </w:rPr>
      </w:pPr>
    </w:p>
    <w:p w:rsidR="0008092C" w:rsidRPr="00277737" w:rsidRDefault="0008092C" w:rsidP="00277737">
      <w:pPr>
        <w:spacing w:line="276" w:lineRule="auto"/>
        <w:ind w:left="360"/>
        <w:jc w:val="center"/>
        <w:rPr>
          <w:b/>
          <w:color w:val="000000"/>
          <w:sz w:val="28"/>
          <w:szCs w:val="28"/>
          <w:u w:val="single"/>
        </w:rPr>
      </w:pPr>
      <w:r w:rsidRPr="00277737">
        <w:rPr>
          <w:b/>
          <w:color w:val="000000"/>
          <w:sz w:val="28"/>
          <w:szCs w:val="28"/>
          <w:u w:val="single"/>
        </w:rPr>
        <w:t>Testamentary Capacity</w:t>
      </w:r>
    </w:p>
    <w:p w:rsidR="00277737" w:rsidRPr="00277737" w:rsidRDefault="00277737" w:rsidP="00277737">
      <w:pPr>
        <w:spacing w:line="276" w:lineRule="auto"/>
        <w:ind w:left="360"/>
        <w:rPr>
          <w:sz w:val="28"/>
          <w:szCs w:val="28"/>
        </w:rPr>
      </w:pPr>
    </w:p>
    <w:p w:rsidR="0008092C" w:rsidRPr="00277737" w:rsidRDefault="0008092C" w:rsidP="00277737">
      <w:pPr>
        <w:spacing w:line="276" w:lineRule="auto"/>
        <w:ind w:left="360"/>
        <w:rPr>
          <w:sz w:val="28"/>
          <w:szCs w:val="28"/>
        </w:rPr>
      </w:pPr>
      <w:proofErr w:type="spellStart"/>
      <w:r w:rsidRPr="00277737">
        <w:rPr>
          <w:sz w:val="28"/>
          <w:szCs w:val="28"/>
        </w:rPr>
        <w:t>Prob</w:t>
      </w:r>
      <w:proofErr w:type="spellEnd"/>
      <w:r w:rsidRPr="00277737">
        <w:rPr>
          <w:sz w:val="28"/>
          <w:szCs w:val="28"/>
        </w:rPr>
        <w:t xml:space="preserve"> C 6100(a): An adult of sound mind may make a will</w:t>
      </w:r>
    </w:p>
    <w:p w:rsidR="0008092C" w:rsidRPr="00277737" w:rsidRDefault="0008092C" w:rsidP="00277737">
      <w:pPr>
        <w:spacing w:line="276" w:lineRule="auto"/>
        <w:ind w:left="360"/>
        <w:rPr>
          <w:sz w:val="28"/>
          <w:szCs w:val="28"/>
        </w:rPr>
      </w:pPr>
    </w:p>
    <w:p w:rsidR="0008092C" w:rsidRPr="00277737" w:rsidRDefault="0008092C" w:rsidP="00277737">
      <w:pPr>
        <w:spacing w:line="276" w:lineRule="auto"/>
        <w:ind w:left="360"/>
        <w:rPr>
          <w:sz w:val="28"/>
          <w:szCs w:val="28"/>
        </w:rPr>
      </w:pPr>
      <w:proofErr w:type="spellStart"/>
      <w:r w:rsidRPr="00277737">
        <w:rPr>
          <w:sz w:val="28"/>
          <w:szCs w:val="28"/>
        </w:rPr>
        <w:t>Prob</w:t>
      </w:r>
      <w:proofErr w:type="spellEnd"/>
      <w:r w:rsidRPr="00277737">
        <w:rPr>
          <w:sz w:val="28"/>
          <w:szCs w:val="28"/>
        </w:rPr>
        <w:t xml:space="preserve"> C 6100(b) </w:t>
      </w:r>
      <w:proofErr w:type="gramStart"/>
      <w:r w:rsidRPr="00277737">
        <w:rPr>
          <w:sz w:val="28"/>
          <w:szCs w:val="28"/>
        </w:rPr>
        <w:t>A</w:t>
      </w:r>
      <w:proofErr w:type="gramEnd"/>
      <w:r w:rsidRPr="00277737">
        <w:rPr>
          <w:sz w:val="28"/>
          <w:szCs w:val="28"/>
        </w:rPr>
        <w:t xml:space="preserve"> mentally competent </w:t>
      </w:r>
      <w:proofErr w:type="spellStart"/>
      <w:r w:rsidRPr="00277737">
        <w:rPr>
          <w:sz w:val="28"/>
          <w:szCs w:val="28"/>
        </w:rPr>
        <w:t>conservatee</w:t>
      </w:r>
      <w:proofErr w:type="spellEnd"/>
      <w:r w:rsidRPr="00277737">
        <w:rPr>
          <w:sz w:val="28"/>
          <w:szCs w:val="28"/>
        </w:rPr>
        <w:t xml:space="preserve"> may make a will</w:t>
      </w:r>
    </w:p>
    <w:p w:rsidR="00F24453" w:rsidRPr="00277737" w:rsidRDefault="00F24453" w:rsidP="00277737">
      <w:pPr>
        <w:spacing w:after="240" w:line="276" w:lineRule="auto"/>
        <w:ind w:left="360"/>
        <w:rPr>
          <w:rFonts w:eastAsia="Times New Roman"/>
          <w:sz w:val="28"/>
          <w:szCs w:val="28"/>
        </w:rPr>
      </w:pPr>
      <w:r w:rsidRPr="00277737">
        <w:rPr>
          <w:rFonts w:eastAsia="Times New Roman"/>
          <w:sz w:val="28"/>
          <w:szCs w:val="28"/>
        </w:rPr>
        <w:t xml:space="preserve">“The attorney who is persuaded of the client's testamentary capacity by his or her own observations and experience, and who drafts the will accordingly, fulfills that duty of loyalty </w:t>
      </w:r>
      <w:r w:rsidRPr="00277737">
        <w:rPr>
          <w:rFonts w:eastAsia="Times New Roman"/>
          <w:i/>
          <w:iCs/>
          <w:sz w:val="28"/>
          <w:szCs w:val="28"/>
        </w:rPr>
        <w:t>to the testator.</w:t>
      </w:r>
      <w:r w:rsidRPr="00277737">
        <w:rPr>
          <w:rFonts w:eastAsia="Times New Roman"/>
          <w:sz w:val="28"/>
          <w:szCs w:val="28"/>
        </w:rPr>
        <w:t xml:space="preserve"> In so determining, the attorney should not be required to consider the effect of the new will on beneficiaries under a former will or beneficiaries of the new will</w:t>
      </w:r>
      <w:proofErr w:type="gramStart"/>
      <w:r w:rsidRPr="00277737">
        <w:rPr>
          <w:rFonts w:eastAsia="Times New Roman"/>
          <w:sz w:val="28"/>
          <w:szCs w:val="28"/>
        </w:rPr>
        <w:t>..”</w:t>
      </w:r>
      <w:proofErr w:type="gramEnd"/>
      <w:r w:rsidRPr="00277737">
        <w:rPr>
          <w:rFonts w:eastAsia="Times New Roman"/>
          <w:sz w:val="28"/>
          <w:szCs w:val="28"/>
        </w:rPr>
        <w:t xml:space="preserve">  </w:t>
      </w:r>
      <w:r w:rsidRPr="00277737">
        <w:rPr>
          <w:rFonts w:eastAsia="Times New Roman"/>
          <w:i/>
          <w:iCs/>
          <w:sz w:val="28"/>
          <w:szCs w:val="28"/>
        </w:rPr>
        <w:t xml:space="preserve">Moore v. Anderson </w:t>
      </w:r>
      <w:proofErr w:type="gramStart"/>
      <w:r w:rsidRPr="00277737">
        <w:rPr>
          <w:rFonts w:eastAsia="Times New Roman"/>
          <w:i/>
          <w:iCs/>
          <w:sz w:val="28"/>
          <w:szCs w:val="28"/>
        </w:rPr>
        <w:t>Zeigler  (</w:t>
      </w:r>
      <w:proofErr w:type="gramEnd"/>
      <w:r w:rsidRPr="00277737">
        <w:rPr>
          <w:rFonts w:eastAsia="Times New Roman"/>
          <w:i/>
          <w:iCs/>
          <w:sz w:val="28"/>
          <w:szCs w:val="28"/>
        </w:rPr>
        <w:t>2003)</w:t>
      </w:r>
      <w:r w:rsidRPr="00277737">
        <w:rPr>
          <w:rFonts w:eastAsia="Times New Roman"/>
          <w:sz w:val="28"/>
          <w:szCs w:val="28"/>
        </w:rPr>
        <w:t>, 109 Cal. App. 4th 1287, 1299.</w:t>
      </w:r>
    </w:p>
    <w:p w:rsidR="00F24453" w:rsidRPr="00277737" w:rsidRDefault="00F24453" w:rsidP="00277737">
      <w:pPr>
        <w:tabs>
          <w:tab w:val="left" w:pos="450"/>
        </w:tabs>
        <w:spacing w:line="276" w:lineRule="auto"/>
        <w:ind w:left="360"/>
        <w:rPr>
          <w:sz w:val="28"/>
          <w:szCs w:val="28"/>
        </w:rPr>
      </w:pPr>
    </w:p>
    <w:p w:rsidR="003C4675" w:rsidRPr="00277737" w:rsidRDefault="003C4675" w:rsidP="00277737">
      <w:pPr>
        <w:spacing w:line="276" w:lineRule="auto"/>
        <w:ind w:left="360"/>
        <w:rPr>
          <w:sz w:val="28"/>
          <w:szCs w:val="28"/>
        </w:rPr>
      </w:pPr>
    </w:p>
    <w:p w:rsidR="005D2B85" w:rsidRPr="00277737" w:rsidRDefault="003C4675" w:rsidP="00277737">
      <w:pPr>
        <w:spacing w:line="276" w:lineRule="auto"/>
        <w:ind w:left="360"/>
        <w:jc w:val="center"/>
        <w:rPr>
          <w:b/>
          <w:sz w:val="28"/>
          <w:szCs w:val="28"/>
          <w:u w:val="single"/>
        </w:rPr>
      </w:pPr>
      <w:r w:rsidRPr="00277737">
        <w:rPr>
          <w:b/>
          <w:sz w:val="28"/>
          <w:szCs w:val="28"/>
          <w:u w:val="single"/>
        </w:rPr>
        <w:lastRenderedPageBreak/>
        <w:t>Client’s Capacity</w:t>
      </w:r>
    </w:p>
    <w:p w:rsidR="005D2B85" w:rsidRPr="00277737" w:rsidRDefault="003C4675" w:rsidP="00277737">
      <w:pPr>
        <w:spacing w:line="276" w:lineRule="auto"/>
        <w:ind w:left="360"/>
        <w:rPr>
          <w:b/>
          <w:sz w:val="28"/>
          <w:szCs w:val="28"/>
        </w:rPr>
      </w:pPr>
      <w:r w:rsidRPr="00277737">
        <w:rPr>
          <w:rFonts w:eastAsia="Times New Roman"/>
          <w:sz w:val="28"/>
          <w:szCs w:val="28"/>
        </w:rPr>
        <w:t>Sullivan</w:t>
      </w:r>
      <w:r w:rsidR="00F24453" w:rsidRPr="00277737">
        <w:rPr>
          <w:rFonts w:eastAsia="Times New Roman"/>
          <w:sz w:val="28"/>
          <w:szCs w:val="28"/>
        </w:rPr>
        <w:t xml:space="preserve"> v Dunne (1926) 198 Cal 183 (supra)</w:t>
      </w:r>
      <w:r w:rsidRPr="00277737">
        <w:rPr>
          <w:rFonts w:eastAsia="Times New Roman"/>
          <w:sz w:val="28"/>
          <w:szCs w:val="28"/>
        </w:rPr>
        <w:t xml:space="preserve"> </w:t>
      </w:r>
    </w:p>
    <w:p w:rsidR="005D2B85" w:rsidRPr="00277737" w:rsidRDefault="005D2B85" w:rsidP="00277737">
      <w:pPr>
        <w:spacing w:line="276" w:lineRule="auto"/>
        <w:ind w:left="360"/>
        <w:rPr>
          <w:b/>
          <w:sz w:val="28"/>
          <w:szCs w:val="28"/>
        </w:rPr>
      </w:pPr>
    </w:p>
    <w:p w:rsidR="003C4675" w:rsidRPr="00277737" w:rsidRDefault="005D2B85" w:rsidP="00277737">
      <w:pPr>
        <w:spacing w:line="276" w:lineRule="auto"/>
        <w:ind w:left="360"/>
        <w:rPr>
          <w:rFonts w:eastAsia="Times New Roman"/>
          <w:sz w:val="28"/>
          <w:szCs w:val="28"/>
        </w:rPr>
      </w:pPr>
      <w:proofErr w:type="gramStart"/>
      <w:r w:rsidRPr="00277737">
        <w:rPr>
          <w:sz w:val="28"/>
          <w:szCs w:val="28"/>
          <w:lang w:eastAsia="ja-JP"/>
        </w:rPr>
        <w:t>Magee v. State Bar</w:t>
      </w:r>
      <w:r w:rsidRPr="00277737">
        <w:rPr>
          <w:i/>
          <w:sz w:val="28"/>
          <w:szCs w:val="28"/>
          <w:lang w:eastAsia="ja-JP"/>
        </w:rPr>
        <w:t xml:space="preserve"> </w:t>
      </w:r>
      <w:r w:rsidRPr="00277737">
        <w:rPr>
          <w:sz w:val="28"/>
          <w:szCs w:val="28"/>
          <w:lang w:eastAsia="ja-JP"/>
        </w:rPr>
        <w:t>(1964) 58 Cal. 2d 423.</w:t>
      </w:r>
      <w:proofErr w:type="gramEnd"/>
      <w:r w:rsidRPr="00277737">
        <w:rPr>
          <w:sz w:val="28"/>
          <w:szCs w:val="28"/>
          <w:lang w:eastAsia="ja-JP"/>
        </w:rPr>
        <w:t xml:space="preserve">  Client's advanced age of 81 years was ground for requiring attorney to justify inter </w:t>
      </w:r>
      <w:proofErr w:type="spellStart"/>
      <w:r w:rsidRPr="00277737">
        <w:rPr>
          <w:sz w:val="28"/>
          <w:szCs w:val="28"/>
          <w:lang w:eastAsia="ja-JP"/>
        </w:rPr>
        <w:t>vivos</w:t>
      </w:r>
      <w:proofErr w:type="spellEnd"/>
      <w:r w:rsidRPr="00277737">
        <w:rPr>
          <w:sz w:val="28"/>
          <w:szCs w:val="28"/>
          <w:lang w:eastAsia="ja-JP"/>
        </w:rPr>
        <w:t xml:space="preserve"> and testamentary gifts by client to him, but was not in itself sufficient basis for assuming that attorney abused confidence of client.</w:t>
      </w:r>
    </w:p>
    <w:p w:rsidR="00F24453" w:rsidRPr="00277737" w:rsidRDefault="00F24453" w:rsidP="00277737">
      <w:pPr>
        <w:spacing w:line="276" w:lineRule="auto"/>
        <w:ind w:left="360"/>
        <w:rPr>
          <w:rFonts w:eastAsia="Times New Roman"/>
          <w:sz w:val="28"/>
          <w:szCs w:val="28"/>
        </w:rPr>
      </w:pPr>
    </w:p>
    <w:p w:rsidR="005D2B85" w:rsidRPr="00277737" w:rsidRDefault="003C4675" w:rsidP="00277737">
      <w:pPr>
        <w:spacing w:line="276" w:lineRule="auto"/>
        <w:ind w:left="360"/>
        <w:rPr>
          <w:rFonts w:eastAsia="Times New Roman"/>
          <w:sz w:val="28"/>
          <w:szCs w:val="28"/>
        </w:rPr>
      </w:pPr>
      <w:proofErr w:type="gramStart"/>
      <w:r w:rsidRPr="00277737">
        <w:rPr>
          <w:rFonts w:eastAsia="Times New Roman"/>
          <w:sz w:val="28"/>
          <w:szCs w:val="28"/>
        </w:rPr>
        <w:t>Conservatorship of Chilton (1970) 8 Cal App 3</w:t>
      </w:r>
      <w:r w:rsidRPr="00277737">
        <w:rPr>
          <w:rFonts w:eastAsia="Times New Roman"/>
          <w:sz w:val="28"/>
          <w:szCs w:val="28"/>
          <w:vertAlign w:val="superscript"/>
        </w:rPr>
        <w:t>rd</w:t>
      </w:r>
      <w:r w:rsidRPr="00277737">
        <w:rPr>
          <w:rFonts w:eastAsia="Times New Roman"/>
          <w:sz w:val="28"/>
          <w:szCs w:val="28"/>
        </w:rPr>
        <w:t xml:space="preserve"> 34.</w:t>
      </w:r>
      <w:proofErr w:type="gramEnd"/>
      <w:r w:rsidRPr="00277737">
        <w:rPr>
          <w:rFonts w:eastAsia="Times New Roman"/>
          <w:sz w:val="28"/>
          <w:szCs w:val="28"/>
        </w:rPr>
        <w:t xml:space="preserve">  Boyfriend brings woman to attorney.  She is the client.  Attorney’s opposition to conservatorship used as evidence that boyfriend took advantage of her, and therefore denied fees to attorney.</w:t>
      </w:r>
    </w:p>
    <w:p w:rsidR="00F24453" w:rsidRPr="00277737" w:rsidRDefault="00F24453" w:rsidP="00277737">
      <w:pPr>
        <w:spacing w:line="276" w:lineRule="auto"/>
        <w:ind w:left="360"/>
        <w:rPr>
          <w:rFonts w:eastAsia="Times New Roman"/>
          <w:sz w:val="28"/>
          <w:szCs w:val="28"/>
        </w:rPr>
      </w:pPr>
    </w:p>
    <w:p w:rsidR="006938B3" w:rsidRPr="00277737" w:rsidRDefault="00F24453" w:rsidP="00277737">
      <w:pPr>
        <w:spacing w:line="276" w:lineRule="auto"/>
        <w:ind w:left="360"/>
        <w:rPr>
          <w:rFonts w:eastAsia="Times New Roman"/>
          <w:sz w:val="28"/>
          <w:szCs w:val="28"/>
        </w:rPr>
      </w:pPr>
      <w:r w:rsidRPr="00277737">
        <w:rPr>
          <w:rFonts w:eastAsia="Times New Roman"/>
          <w:sz w:val="28"/>
          <w:szCs w:val="28"/>
        </w:rPr>
        <w:t>Caldwell v State Bar (1975) 13 Cal 3</w:t>
      </w:r>
      <w:r w:rsidRPr="00277737">
        <w:rPr>
          <w:rFonts w:eastAsia="Times New Roman"/>
          <w:sz w:val="28"/>
          <w:szCs w:val="28"/>
          <w:vertAlign w:val="superscript"/>
        </w:rPr>
        <w:t>rd</w:t>
      </w:r>
      <w:r w:rsidRPr="00277737">
        <w:rPr>
          <w:rFonts w:eastAsia="Times New Roman"/>
          <w:sz w:val="28"/>
          <w:szCs w:val="28"/>
        </w:rPr>
        <w:t xml:space="preserve"> 488, once the client was declared incompetent, it was misconduct for attorney to use the client’s power of attorney to deplete client funds.</w:t>
      </w:r>
    </w:p>
    <w:p w:rsidR="006938B3" w:rsidRPr="00277737" w:rsidRDefault="006938B3" w:rsidP="00277737">
      <w:pPr>
        <w:spacing w:line="276" w:lineRule="auto"/>
        <w:ind w:left="360"/>
        <w:rPr>
          <w:rFonts w:eastAsia="Times New Roman"/>
          <w:sz w:val="28"/>
          <w:szCs w:val="28"/>
        </w:rPr>
      </w:pPr>
    </w:p>
    <w:p w:rsidR="006938B3" w:rsidRPr="00277737" w:rsidRDefault="006938B3" w:rsidP="00277737">
      <w:pPr>
        <w:spacing w:line="276" w:lineRule="auto"/>
        <w:ind w:left="360"/>
        <w:rPr>
          <w:rFonts w:eastAsia="Times New Roman"/>
          <w:sz w:val="28"/>
          <w:szCs w:val="28"/>
        </w:rPr>
      </w:pPr>
      <w:r w:rsidRPr="00277737">
        <w:rPr>
          <w:sz w:val="28"/>
          <w:szCs w:val="28"/>
        </w:rPr>
        <w:t xml:space="preserve">In re R. S. (1985) 167 Cal.App.3d 946, 979, the court recognized </w:t>
      </w:r>
      <w:proofErr w:type="gramStart"/>
      <w:r w:rsidRPr="00277737">
        <w:rPr>
          <w:sz w:val="28"/>
          <w:szCs w:val="28"/>
        </w:rPr>
        <w:t>that  in</w:t>
      </w:r>
      <w:proofErr w:type="gramEnd"/>
      <w:r w:rsidRPr="00277737">
        <w:rPr>
          <w:sz w:val="28"/>
          <w:szCs w:val="28"/>
        </w:rPr>
        <w:t xml:space="preserve"> dependency and in criminal cases , “… we must rely upon trial counsel, acting in the best interests of his client, and upon the court itself, acting to preserve the integrity of the judicial proceedings, to assure that no person incompetent or otherwise incapable of understanding the proceedings against him be forced to participate in a proceeding at which significant rights are at stake.”  See also </w:t>
      </w:r>
      <w:r w:rsidRPr="00277737">
        <w:rPr>
          <w:rStyle w:val="Emphasis"/>
          <w:sz w:val="28"/>
          <w:szCs w:val="28"/>
        </w:rPr>
        <w:t>In re Sara D.</w:t>
      </w:r>
      <w:r w:rsidRPr="00277737">
        <w:rPr>
          <w:sz w:val="28"/>
          <w:szCs w:val="28"/>
        </w:rPr>
        <w:t xml:space="preserve"> (2001) 87 Cal. App. 4th 661, 672-73.</w:t>
      </w:r>
    </w:p>
    <w:p w:rsidR="006938B3" w:rsidRPr="00277737" w:rsidRDefault="006938B3" w:rsidP="00277737">
      <w:pPr>
        <w:spacing w:line="276" w:lineRule="auto"/>
        <w:ind w:left="360"/>
        <w:rPr>
          <w:rFonts w:eastAsia="Times New Roman"/>
          <w:sz w:val="28"/>
          <w:szCs w:val="28"/>
        </w:rPr>
      </w:pPr>
    </w:p>
    <w:p w:rsidR="00F24453" w:rsidRPr="00277737" w:rsidRDefault="00F24453" w:rsidP="00277737">
      <w:pPr>
        <w:spacing w:line="276" w:lineRule="auto"/>
        <w:ind w:left="360"/>
        <w:rPr>
          <w:rFonts w:eastAsia="Times New Roman"/>
          <w:sz w:val="28"/>
          <w:szCs w:val="28"/>
        </w:rPr>
      </w:pPr>
      <w:proofErr w:type="spellStart"/>
      <w:proofErr w:type="gramStart"/>
      <w:r w:rsidRPr="00277737">
        <w:rPr>
          <w:rFonts w:eastAsia="Times New Roman"/>
          <w:sz w:val="28"/>
          <w:szCs w:val="28"/>
        </w:rPr>
        <w:t>Drabick</w:t>
      </w:r>
      <w:proofErr w:type="spellEnd"/>
      <w:r w:rsidRPr="00277737">
        <w:rPr>
          <w:rFonts w:eastAsia="Times New Roman"/>
          <w:sz w:val="28"/>
          <w:szCs w:val="28"/>
        </w:rPr>
        <w:t xml:space="preserve"> v Superior Court (1988)</w:t>
      </w:r>
      <w:r w:rsidR="006938B3" w:rsidRPr="00277737">
        <w:rPr>
          <w:rFonts w:eastAsia="Times New Roman"/>
          <w:sz w:val="28"/>
          <w:szCs w:val="28"/>
        </w:rPr>
        <w:t xml:space="preserve"> 200 Cal App 3</w:t>
      </w:r>
      <w:r w:rsidR="006938B3" w:rsidRPr="00277737">
        <w:rPr>
          <w:rFonts w:eastAsia="Times New Roman"/>
          <w:sz w:val="28"/>
          <w:szCs w:val="28"/>
          <w:vertAlign w:val="superscript"/>
        </w:rPr>
        <w:t>rd</w:t>
      </w:r>
      <w:r w:rsidR="006938B3" w:rsidRPr="00277737">
        <w:rPr>
          <w:rFonts w:eastAsia="Times New Roman"/>
          <w:sz w:val="28"/>
          <w:szCs w:val="28"/>
        </w:rPr>
        <w:t xml:space="preserve"> 185.</w:t>
      </w:r>
      <w:proofErr w:type="gramEnd"/>
      <w:r w:rsidR="006938B3" w:rsidRPr="00277737">
        <w:rPr>
          <w:rFonts w:eastAsia="Times New Roman"/>
          <w:sz w:val="28"/>
          <w:szCs w:val="28"/>
        </w:rPr>
        <w:t xml:space="preserve">  Family sought to disconnect life support.  Court appointed counsel for the patient.  Counsel concurred.  Held, when the client is in a coma, the attorney must be guided by the attorney’s best understanding of what the client would want.</w:t>
      </w:r>
    </w:p>
    <w:p w:rsidR="00277737" w:rsidRDefault="00277737" w:rsidP="00277737">
      <w:pPr>
        <w:spacing w:after="240" w:line="276" w:lineRule="auto"/>
        <w:ind w:left="360"/>
        <w:rPr>
          <w:rFonts w:eastAsia="Times New Roman"/>
          <w:i/>
          <w:iCs/>
          <w:sz w:val="28"/>
          <w:szCs w:val="28"/>
        </w:rPr>
      </w:pPr>
    </w:p>
    <w:p w:rsidR="003C4675" w:rsidRPr="00277737" w:rsidRDefault="00F24453" w:rsidP="00277737">
      <w:pPr>
        <w:spacing w:after="240" w:line="276" w:lineRule="auto"/>
        <w:ind w:left="360"/>
        <w:rPr>
          <w:b/>
          <w:sz w:val="28"/>
          <w:szCs w:val="28"/>
        </w:rPr>
      </w:pPr>
      <w:r w:rsidRPr="00277737">
        <w:rPr>
          <w:rFonts w:eastAsia="Times New Roman"/>
          <w:iCs/>
          <w:sz w:val="28"/>
          <w:szCs w:val="28"/>
        </w:rPr>
        <w:t xml:space="preserve">Moore v. Anderson </w:t>
      </w:r>
      <w:proofErr w:type="gramStart"/>
      <w:r w:rsidRPr="00277737">
        <w:rPr>
          <w:rFonts w:eastAsia="Times New Roman"/>
          <w:iCs/>
          <w:sz w:val="28"/>
          <w:szCs w:val="28"/>
        </w:rPr>
        <w:t>Zeigler  (</w:t>
      </w:r>
      <w:proofErr w:type="gramEnd"/>
      <w:r w:rsidRPr="00277737">
        <w:rPr>
          <w:rFonts w:eastAsia="Times New Roman"/>
          <w:iCs/>
          <w:sz w:val="28"/>
          <w:szCs w:val="28"/>
        </w:rPr>
        <w:t>2003)</w:t>
      </w:r>
      <w:r w:rsidRPr="00277737">
        <w:rPr>
          <w:rFonts w:eastAsia="Times New Roman"/>
          <w:sz w:val="28"/>
          <w:szCs w:val="28"/>
        </w:rPr>
        <w:t>, 109 Cal. App. 4th 1287, 1299.  (</w:t>
      </w:r>
      <w:proofErr w:type="gramStart"/>
      <w:r w:rsidRPr="00277737">
        <w:rPr>
          <w:rFonts w:eastAsia="Times New Roman"/>
          <w:sz w:val="28"/>
          <w:szCs w:val="28"/>
        </w:rPr>
        <w:t>supra</w:t>
      </w:r>
      <w:proofErr w:type="gramEnd"/>
      <w:r w:rsidRPr="00277737">
        <w:rPr>
          <w:rFonts w:eastAsia="Times New Roman"/>
          <w:sz w:val="28"/>
          <w:szCs w:val="28"/>
        </w:rPr>
        <w:t>)</w:t>
      </w:r>
    </w:p>
    <w:p w:rsidR="0008092C" w:rsidRPr="00277737" w:rsidRDefault="0008092C" w:rsidP="00277737">
      <w:pPr>
        <w:spacing w:line="276" w:lineRule="auto"/>
        <w:ind w:left="360"/>
        <w:rPr>
          <w:sz w:val="28"/>
          <w:szCs w:val="28"/>
        </w:rPr>
      </w:pPr>
    </w:p>
    <w:p w:rsidR="0008092C" w:rsidRPr="00277737" w:rsidRDefault="0008092C" w:rsidP="00277737">
      <w:pPr>
        <w:spacing w:line="276" w:lineRule="auto"/>
        <w:ind w:left="360"/>
        <w:jc w:val="center"/>
        <w:rPr>
          <w:b/>
          <w:color w:val="000000"/>
          <w:sz w:val="28"/>
          <w:szCs w:val="28"/>
          <w:u w:val="single"/>
        </w:rPr>
      </w:pPr>
      <w:r w:rsidRPr="00277737">
        <w:rPr>
          <w:b/>
          <w:color w:val="000000"/>
          <w:sz w:val="28"/>
          <w:szCs w:val="28"/>
          <w:u w:val="single"/>
        </w:rPr>
        <w:t>Witness Capacity</w:t>
      </w:r>
    </w:p>
    <w:p w:rsidR="00277737" w:rsidRDefault="00277737" w:rsidP="00277737">
      <w:pPr>
        <w:spacing w:line="276" w:lineRule="auto"/>
        <w:ind w:left="360"/>
        <w:rPr>
          <w:sz w:val="28"/>
          <w:szCs w:val="28"/>
        </w:rPr>
      </w:pPr>
    </w:p>
    <w:p w:rsidR="005D2B85" w:rsidRPr="00277737" w:rsidRDefault="0008092C" w:rsidP="00277737">
      <w:pPr>
        <w:spacing w:line="276" w:lineRule="auto"/>
        <w:ind w:left="360"/>
        <w:rPr>
          <w:sz w:val="28"/>
          <w:szCs w:val="28"/>
        </w:rPr>
      </w:pPr>
      <w:proofErr w:type="spellStart"/>
      <w:r w:rsidRPr="00277737">
        <w:rPr>
          <w:sz w:val="28"/>
          <w:szCs w:val="28"/>
        </w:rPr>
        <w:t>Ev</w:t>
      </w:r>
      <w:proofErr w:type="spellEnd"/>
      <w:r w:rsidRPr="00277737">
        <w:rPr>
          <w:sz w:val="28"/>
          <w:szCs w:val="28"/>
        </w:rPr>
        <w:t xml:space="preserve"> C 177 Dependent person includes anyone person who has a physical or mental impairment that so they cannot protect their own</w:t>
      </w:r>
      <w:r w:rsidR="005D2B85" w:rsidRPr="00277737">
        <w:rPr>
          <w:sz w:val="28"/>
          <w:szCs w:val="28"/>
        </w:rPr>
        <w:t xml:space="preserve"> rights.  </w:t>
      </w:r>
    </w:p>
    <w:p w:rsidR="005D2B85" w:rsidRPr="00277737" w:rsidRDefault="005D2B85" w:rsidP="00277737">
      <w:pPr>
        <w:spacing w:line="276" w:lineRule="auto"/>
        <w:ind w:left="360"/>
        <w:rPr>
          <w:sz w:val="28"/>
          <w:szCs w:val="28"/>
        </w:rPr>
      </w:pPr>
    </w:p>
    <w:p w:rsidR="005D2B85" w:rsidRPr="00277737" w:rsidRDefault="005D2B85" w:rsidP="00277737">
      <w:pPr>
        <w:spacing w:line="276" w:lineRule="auto"/>
        <w:ind w:left="360"/>
        <w:rPr>
          <w:sz w:val="28"/>
          <w:szCs w:val="28"/>
        </w:rPr>
      </w:pPr>
      <w:proofErr w:type="spellStart"/>
      <w:r w:rsidRPr="00277737">
        <w:rPr>
          <w:sz w:val="28"/>
          <w:szCs w:val="28"/>
        </w:rPr>
        <w:t>Prob</w:t>
      </w:r>
      <w:proofErr w:type="spellEnd"/>
      <w:r w:rsidRPr="00277737">
        <w:rPr>
          <w:sz w:val="28"/>
          <w:szCs w:val="28"/>
        </w:rPr>
        <w:t xml:space="preserve"> C 810 (c) “A judicial determination that a person is totally without understanding, or is of unsound mind, or suffers from one or more mental deficits so substantial that, under the circumstances, the person should be deemed to lack the legal capacity to perform a specific act, should be based on evidence of a deficit in one or more of the person's mental functions rather than on a diagnosis of a person's mental or physical disorder.”</w:t>
      </w:r>
    </w:p>
    <w:p w:rsidR="00FA6FA6" w:rsidRPr="00277737" w:rsidRDefault="00FA6FA6" w:rsidP="00277737">
      <w:pPr>
        <w:spacing w:line="276" w:lineRule="auto"/>
        <w:ind w:left="360"/>
        <w:rPr>
          <w:sz w:val="28"/>
          <w:szCs w:val="28"/>
        </w:rPr>
      </w:pPr>
    </w:p>
    <w:p w:rsidR="00FA6FA6" w:rsidRPr="00277737" w:rsidRDefault="0008092C" w:rsidP="00277737">
      <w:pPr>
        <w:spacing w:line="276" w:lineRule="auto"/>
        <w:ind w:left="360"/>
        <w:rPr>
          <w:sz w:val="28"/>
          <w:szCs w:val="28"/>
        </w:rPr>
      </w:pPr>
      <w:r w:rsidRPr="00277737">
        <w:rPr>
          <w:rFonts w:eastAsia="Times New Roman"/>
          <w:sz w:val="28"/>
          <w:szCs w:val="28"/>
        </w:rPr>
        <w:t xml:space="preserve">Cal. Penal Code § </w:t>
      </w:r>
      <w:proofErr w:type="gramStart"/>
      <w:r w:rsidRPr="00277737">
        <w:rPr>
          <w:rFonts w:eastAsia="Times New Roman"/>
          <w:sz w:val="28"/>
          <w:szCs w:val="28"/>
        </w:rPr>
        <w:t>1127g :</w:t>
      </w:r>
      <w:proofErr w:type="gramEnd"/>
      <w:r w:rsidR="00FA6FA6" w:rsidRPr="00277737">
        <w:rPr>
          <w:rFonts w:eastAsia="Times New Roman"/>
          <w:sz w:val="28"/>
          <w:szCs w:val="28"/>
        </w:rPr>
        <w:t xml:space="preserve"> Although, because of his or her level of cognitive development, a person with a developmental disability, or cognitive, mental, or communication impairment may perform differently as a witness, that does not mean that a person with a developmental disability, or cognitive, mental, or communication impairment is any more or less credible a witness than another witness. </w:t>
      </w:r>
    </w:p>
    <w:p w:rsidR="0008092C" w:rsidRPr="00277737" w:rsidRDefault="0008092C" w:rsidP="00277737">
      <w:pPr>
        <w:spacing w:line="276" w:lineRule="auto"/>
        <w:rPr>
          <w:rFonts w:eastAsia="Times New Roman"/>
          <w:sz w:val="28"/>
          <w:szCs w:val="28"/>
        </w:rPr>
      </w:pPr>
    </w:p>
    <w:p w:rsidR="00DD7FBD" w:rsidRPr="00277737" w:rsidRDefault="00FA6FA6" w:rsidP="00277737">
      <w:pPr>
        <w:spacing w:line="276" w:lineRule="auto"/>
        <w:ind w:left="360"/>
        <w:jc w:val="center"/>
        <w:rPr>
          <w:color w:val="000000"/>
          <w:sz w:val="28"/>
          <w:szCs w:val="28"/>
          <w:u w:val="single"/>
        </w:rPr>
      </w:pPr>
      <w:r w:rsidRPr="00277737">
        <w:rPr>
          <w:b/>
          <w:sz w:val="28"/>
          <w:szCs w:val="28"/>
          <w:u w:val="single"/>
        </w:rPr>
        <w:t>Undue Influence</w:t>
      </w:r>
    </w:p>
    <w:p w:rsidR="00277737" w:rsidRDefault="00277737" w:rsidP="00277737">
      <w:pPr>
        <w:spacing w:line="276" w:lineRule="auto"/>
        <w:ind w:firstLine="360"/>
        <w:rPr>
          <w:color w:val="000000"/>
          <w:sz w:val="28"/>
          <w:szCs w:val="28"/>
        </w:rPr>
      </w:pPr>
    </w:p>
    <w:p w:rsidR="00DD7FBD" w:rsidRPr="00277737" w:rsidRDefault="00DD7FBD" w:rsidP="00277737">
      <w:pPr>
        <w:spacing w:line="276" w:lineRule="auto"/>
        <w:ind w:firstLine="360"/>
        <w:rPr>
          <w:rFonts w:eastAsia="Times New Roman"/>
          <w:sz w:val="28"/>
          <w:szCs w:val="28"/>
        </w:rPr>
      </w:pPr>
      <w:proofErr w:type="spellStart"/>
      <w:r w:rsidRPr="00277737">
        <w:rPr>
          <w:color w:val="000000"/>
          <w:sz w:val="28"/>
          <w:szCs w:val="28"/>
        </w:rPr>
        <w:t>Civ</w:t>
      </w:r>
      <w:proofErr w:type="spellEnd"/>
      <w:r w:rsidRPr="00277737">
        <w:rPr>
          <w:color w:val="000000"/>
          <w:sz w:val="28"/>
          <w:szCs w:val="28"/>
        </w:rPr>
        <w:t xml:space="preserve"> C 1575:  </w:t>
      </w:r>
      <w:r w:rsidRPr="00277737">
        <w:rPr>
          <w:rFonts w:eastAsia="Times New Roman"/>
          <w:sz w:val="28"/>
          <w:szCs w:val="28"/>
        </w:rPr>
        <w:t>Undue influence consists:</w:t>
      </w:r>
    </w:p>
    <w:p w:rsidR="00DD7FBD" w:rsidRPr="00277737" w:rsidRDefault="00DD7FBD" w:rsidP="00277737">
      <w:pPr>
        <w:spacing w:line="276" w:lineRule="auto"/>
        <w:ind w:left="360"/>
        <w:rPr>
          <w:rFonts w:eastAsia="Times New Roman"/>
          <w:sz w:val="28"/>
          <w:szCs w:val="28"/>
        </w:rPr>
      </w:pPr>
      <w:r w:rsidRPr="00277737">
        <w:rPr>
          <w:rFonts w:eastAsia="Times New Roman"/>
          <w:sz w:val="28"/>
          <w:szCs w:val="28"/>
        </w:rPr>
        <w:t>1. In the use, by one in whom a confidence is reposed by another, or who holds a real or apparent authority over him, of such confidence or authority for the purpose of obtaining an unfair advantage over him;</w:t>
      </w:r>
    </w:p>
    <w:p w:rsidR="00DD7FBD" w:rsidRPr="00277737" w:rsidRDefault="00DD7FBD" w:rsidP="00277737">
      <w:pPr>
        <w:spacing w:line="276" w:lineRule="auto"/>
        <w:ind w:firstLine="360"/>
        <w:rPr>
          <w:rFonts w:eastAsia="Times New Roman"/>
          <w:sz w:val="28"/>
          <w:szCs w:val="28"/>
        </w:rPr>
      </w:pPr>
      <w:r w:rsidRPr="00277737">
        <w:rPr>
          <w:rFonts w:eastAsia="Times New Roman"/>
          <w:sz w:val="28"/>
          <w:szCs w:val="28"/>
        </w:rPr>
        <w:t>2. In taking an unfair advantage of another's weakness of mind; or,</w:t>
      </w:r>
    </w:p>
    <w:p w:rsidR="00DD7FBD" w:rsidRPr="00277737" w:rsidRDefault="00DD7FBD" w:rsidP="00277737">
      <w:pPr>
        <w:spacing w:line="276" w:lineRule="auto"/>
        <w:ind w:left="360"/>
        <w:rPr>
          <w:rFonts w:eastAsia="Times New Roman"/>
          <w:sz w:val="28"/>
          <w:szCs w:val="28"/>
        </w:rPr>
      </w:pPr>
      <w:r w:rsidRPr="00277737">
        <w:rPr>
          <w:rFonts w:eastAsia="Times New Roman"/>
          <w:sz w:val="28"/>
          <w:szCs w:val="28"/>
        </w:rPr>
        <w:t>3. In taking a grossly oppressive an</w:t>
      </w:r>
      <w:r w:rsidR="00FA6FA6" w:rsidRPr="00277737">
        <w:rPr>
          <w:rFonts w:eastAsia="Times New Roman"/>
          <w:sz w:val="28"/>
          <w:szCs w:val="28"/>
        </w:rPr>
        <w:t xml:space="preserve">d unfair advantage of another's </w:t>
      </w:r>
      <w:r w:rsidRPr="00277737">
        <w:rPr>
          <w:rFonts w:eastAsia="Times New Roman"/>
          <w:sz w:val="28"/>
          <w:szCs w:val="28"/>
        </w:rPr>
        <w:t>necessities or distress.</w:t>
      </w:r>
    </w:p>
    <w:p w:rsidR="00FA6FA6" w:rsidRPr="00277737" w:rsidRDefault="00FA6FA6" w:rsidP="00277737">
      <w:pPr>
        <w:spacing w:line="276" w:lineRule="auto"/>
        <w:ind w:left="360"/>
        <w:rPr>
          <w:rFonts w:eastAsia="Times New Roman"/>
          <w:sz w:val="28"/>
          <w:szCs w:val="28"/>
        </w:rPr>
      </w:pPr>
    </w:p>
    <w:p w:rsidR="00FA6FA6" w:rsidRPr="00277737" w:rsidRDefault="00FA6FA6" w:rsidP="00277737">
      <w:pPr>
        <w:spacing w:line="276" w:lineRule="auto"/>
        <w:ind w:left="360"/>
        <w:rPr>
          <w:rFonts w:eastAsia="Times New Roman"/>
          <w:sz w:val="28"/>
          <w:szCs w:val="28"/>
        </w:rPr>
      </w:pPr>
      <w:r w:rsidRPr="00277737">
        <w:rPr>
          <w:rFonts w:eastAsia="Times New Roman"/>
          <w:sz w:val="28"/>
          <w:szCs w:val="28"/>
        </w:rPr>
        <w:t xml:space="preserve">Under </w:t>
      </w:r>
      <w:proofErr w:type="spellStart"/>
      <w:r w:rsidRPr="00277737">
        <w:rPr>
          <w:rFonts w:eastAsia="Times New Roman"/>
          <w:sz w:val="28"/>
          <w:szCs w:val="28"/>
        </w:rPr>
        <w:t>Civ</w:t>
      </w:r>
      <w:proofErr w:type="spellEnd"/>
      <w:r w:rsidRPr="00277737">
        <w:rPr>
          <w:rFonts w:eastAsia="Times New Roman"/>
          <w:sz w:val="28"/>
          <w:szCs w:val="28"/>
        </w:rPr>
        <w:t xml:space="preserve"> C 1575(1), a presumption of undue influence arises upon showing the advantage.  </w:t>
      </w:r>
      <w:r w:rsidR="003C4675" w:rsidRPr="00277737">
        <w:rPr>
          <w:rFonts w:eastAsia="Times New Roman"/>
          <w:sz w:val="28"/>
          <w:szCs w:val="28"/>
        </w:rPr>
        <w:t xml:space="preserve"> Under </w:t>
      </w:r>
      <w:proofErr w:type="spellStart"/>
      <w:r w:rsidR="003C4675" w:rsidRPr="00277737">
        <w:rPr>
          <w:rFonts w:eastAsia="Times New Roman"/>
          <w:sz w:val="28"/>
          <w:szCs w:val="28"/>
        </w:rPr>
        <w:t>Civ</w:t>
      </w:r>
      <w:proofErr w:type="spellEnd"/>
      <w:r w:rsidR="003C4675" w:rsidRPr="00277737">
        <w:rPr>
          <w:rFonts w:eastAsia="Times New Roman"/>
          <w:sz w:val="28"/>
          <w:szCs w:val="28"/>
        </w:rPr>
        <w:t xml:space="preserve"> C 1571(2), no presumption arises, so the burden of proof is on the person making</w:t>
      </w:r>
      <w:r w:rsidR="00277737">
        <w:rPr>
          <w:rFonts w:eastAsia="Times New Roman"/>
          <w:sz w:val="28"/>
          <w:szCs w:val="28"/>
        </w:rPr>
        <w:t xml:space="preserve"> the allegation.  </w:t>
      </w:r>
      <w:proofErr w:type="spellStart"/>
      <w:proofErr w:type="gramStart"/>
      <w:r w:rsidR="00277737">
        <w:rPr>
          <w:rFonts w:eastAsia="Times New Roman"/>
          <w:sz w:val="28"/>
          <w:szCs w:val="28"/>
        </w:rPr>
        <w:t>Buchmayer</w:t>
      </w:r>
      <w:proofErr w:type="spellEnd"/>
      <w:r w:rsidR="00277737">
        <w:rPr>
          <w:rFonts w:eastAsia="Times New Roman"/>
          <w:sz w:val="28"/>
          <w:szCs w:val="28"/>
        </w:rPr>
        <w:t xml:space="preserve"> v </w:t>
      </w:r>
      <w:proofErr w:type="spellStart"/>
      <w:r w:rsidR="00277737">
        <w:rPr>
          <w:rFonts w:eastAsia="Times New Roman"/>
          <w:sz w:val="28"/>
          <w:szCs w:val="28"/>
        </w:rPr>
        <w:t>Bu</w:t>
      </w:r>
      <w:r w:rsidR="003C4675" w:rsidRPr="00277737">
        <w:rPr>
          <w:rFonts w:eastAsia="Times New Roman"/>
          <w:sz w:val="28"/>
          <w:szCs w:val="28"/>
        </w:rPr>
        <w:t>chmayer</w:t>
      </w:r>
      <w:proofErr w:type="spellEnd"/>
      <w:r w:rsidR="003C4675" w:rsidRPr="00277737">
        <w:rPr>
          <w:rFonts w:eastAsia="Times New Roman"/>
          <w:sz w:val="28"/>
          <w:szCs w:val="28"/>
        </w:rPr>
        <w:t xml:space="preserve"> (1945) 68 Cal App 2</w:t>
      </w:r>
      <w:r w:rsidR="003C4675" w:rsidRPr="00277737">
        <w:rPr>
          <w:rFonts w:eastAsia="Times New Roman"/>
          <w:sz w:val="28"/>
          <w:szCs w:val="28"/>
          <w:vertAlign w:val="superscript"/>
        </w:rPr>
        <w:t>nd</w:t>
      </w:r>
      <w:r w:rsidR="003C4675" w:rsidRPr="00277737">
        <w:rPr>
          <w:rFonts w:eastAsia="Times New Roman"/>
          <w:sz w:val="28"/>
          <w:szCs w:val="28"/>
        </w:rPr>
        <w:t xml:space="preserve"> 462, 466.</w:t>
      </w:r>
      <w:proofErr w:type="gramEnd"/>
    </w:p>
    <w:p w:rsidR="003C4675" w:rsidRPr="00277737" w:rsidRDefault="003C4675" w:rsidP="00277737">
      <w:pPr>
        <w:spacing w:line="276" w:lineRule="auto"/>
        <w:ind w:left="360"/>
        <w:rPr>
          <w:rFonts w:eastAsia="Times New Roman"/>
          <w:sz w:val="28"/>
          <w:szCs w:val="28"/>
        </w:rPr>
      </w:pPr>
    </w:p>
    <w:p w:rsidR="006938B3" w:rsidRPr="00277737" w:rsidRDefault="006938B3" w:rsidP="00277737">
      <w:pPr>
        <w:spacing w:line="276" w:lineRule="auto"/>
        <w:ind w:left="360"/>
        <w:jc w:val="center"/>
        <w:rPr>
          <w:b/>
          <w:sz w:val="28"/>
          <w:szCs w:val="28"/>
          <w:u w:val="single"/>
        </w:rPr>
      </w:pPr>
      <w:proofErr w:type="gramStart"/>
      <w:r w:rsidRPr="00277737">
        <w:rPr>
          <w:b/>
          <w:sz w:val="28"/>
          <w:szCs w:val="28"/>
          <w:u w:val="single"/>
        </w:rPr>
        <w:t>And Yet . . .</w:t>
      </w:r>
      <w:proofErr w:type="gramEnd"/>
    </w:p>
    <w:p w:rsidR="005D2B85" w:rsidRPr="00277737" w:rsidRDefault="006938B3" w:rsidP="00277737">
      <w:pPr>
        <w:spacing w:line="276" w:lineRule="auto"/>
        <w:ind w:left="360"/>
        <w:rPr>
          <w:sz w:val="28"/>
          <w:szCs w:val="28"/>
        </w:rPr>
      </w:pPr>
      <w:proofErr w:type="spellStart"/>
      <w:r w:rsidRPr="00277737">
        <w:rPr>
          <w:sz w:val="28"/>
          <w:szCs w:val="28"/>
        </w:rPr>
        <w:t>Prob</w:t>
      </w:r>
      <w:proofErr w:type="spellEnd"/>
      <w:r w:rsidRPr="00277737">
        <w:rPr>
          <w:sz w:val="28"/>
          <w:szCs w:val="28"/>
        </w:rPr>
        <w:t xml:space="preserve"> C 810(b) “A person who has a mental or physical disorder may still be capable of contracting, conveying, marrying, making medical decisions, executing wills or trusts, and performing other actions.”</w:t>
      </w:r>
    </w:p>
    <w:p w:rsidR="005D2B85" w:rsidRPr="00277737" w:rsidRDefault="005D2B85" w:rsidP="00277737">
      <w:pPr>
        <w:spacing w:line="276" w:lineRule="auto"/>
        <w:ind w:left="360"/>
        <w:rPr>
          <w:sz w:val="28"/>
          <w:szCs w:val="28"/>
        </w:rPr>
      </w:pPr>
    </w:p>
    <w:p w:rsidR="005D2B85" w:rsidRPr="00277737" w:rsidRDefault="005D2B85" w:rsidP="00277737">
      <w:pPr>
        <w:spacing w:line="276" w:lineRule="auto"/>
        <w:ind w:left="360"/>
        <w:rPr>
          <w:sz w:val="28"/>
          <w:szCs w:val="28"/>
        </w:rPr>
      </w:pPr>
      <w:proofErr w:type="spellStart"/>
      <w:r w:rsidRPr="00277737">
        <w:rPr>
          <w:sz w:val="28"/>
          <w:szCs w:val="28"/>
        </w:rPr>
        <w:t>Prob</w:t>
      </w:r>
      <w:proofErr w:type="spellEnd"/>
      <w:r w:rsidRPr="00277737">
        <w:rPr>
          <w:sz w:val="28"/>
          <w:szCs w:val="28"/>
        </w:rPr>
        <w:t xml:space="preserve"> C 6100 (b) **** Nothing in this section shall impair the right of a </w:t>
      </w:r>
      <w:proofErr w:type="spellStart"/>
      <w:r w:rsidRPr="00277737">
        <w:rPr>
          <w:sz w:val="28"/>
          <w:szCs w:val="28"/>
        </w:rPr>
        <w:t>conservatee</w:t>
      </w:r>
      <w:proofErr w:type="spellEnd"/>
      <w:r w:rsidRPr="00277737">
        <w:rPr>
          <w:sz w:val="28"/>
          <w:szCs w:val="28"/>
        </w:rPr>
        <w:t xml:space="preserve"> who is mentally competent to make a will from revoking or amending a will made by the conservator or making a new and inconsistent will.</w:t>
      </w:r>
    </w:p>
    <w:p w:rsidR="005D2B85" w:rsidRPr="00277737" w:rsidRDefault="005D2B85" w:rsidP="00277737">
      <w:pPr>
        <w:spacing w:line="276" w:lineRule="auto"/>
        <w:ind w:left="360"/>
        <w:rPr>
          <w:b/>
          <w:sz w:val="28"/>
          <w:szCs w:val="28"/>
        </w:rPr>
      </w:pPr>
    </w:p>
    <w:p w:rsidR="007D7E27" w:rsidRDefault="00D96002" w:rsidP="00277737">
      <w:pPr>
        <w:widowControl w:val="0"/>
        <w:autoSpaceDE w:val="0"/>
        <w:autoSpaceDN w:val="0"/>
        <w:adjustRightInd w:val="0"/>
        <w:spacing w:line="276" w:lineRule="auto"/>
        <w:rPr>
          <w:sz w:val="28"/>
          <w:szCs w:val="28"/>
        </w:rPr>
      </w:pPr>
      <w:r w:rsidRPr="00277737">
        <w:rPr>
          <w:b/>
          <w:sz w:val="28"/>
          <w:szCs w:val="28"/>
        </w:rPr>
        <w:t>Medical-legal Evaluations:</w:t>
      </w:r>
      <w:r w:rsidRPr="00277737">
        <w:rPr>
          <w:sz w:val="28"/>
          <w:szCs w:val="28"/>
        </w:rPr>
        <w:t xml:space="preserve">  </w:t>
      </w:r>
      <w:r w:rsidR="005D2B85" w:rsidRPr="00277737">
        <w:rPr>
          <w:sz w:val="28"/>
          <w:szCs w:val="28"/>
        </w:rPr>
        <w:t xml:space="preserve"> </w:t>
      </w:r>
      <w:r w:rsidRPr="00277737">
        <w:rPr>
          <w:sz w:val="28"/>
          <w:szCs w:val="28"/>
        </w:rPr>
        <w:t xml:space="preserve">   </w:t>
      </w:r>
      <w:r w:rsidR="00277737" w:rsidRPr="00277737">
        <w:rPr>
          <w:sz w:val="28"/>
          <w:szCs w:val="28"/>
        </w:rPr>
        <w:t xml:space="preserve">Factors that an expert may </w:t>
      </w:r>
      <w:r w:rsidR="007D7E27">
        <w:rPr>
          <w:sz w:val="28"/>
          <w:szCs w:val="28"/>
        </w:rPr>
        <w:t>consider</w:t>
      </w:r>
    </w:p>
    <w:p w:rsidR="00184F39" w:rsidRPr="00277737" w:rsidRDefault="007D7E27" w:rsidP="00277737">
      <w:pPr>
        <w:widowControl w:val="0"/>
        <w:autoSpaceDE w:val="0"/>
        <w:autoSpaceDN w:val="0"/>
        <w:adjustRightInd w:val="0"/>
        <w:spacing w:line="276" w:lineRule="auto"/>
        <w:rPr>
          <w:sz w:val="28"/>
          <w:szCs w:val="28"/>
        </w:rPr>
      </w:pPr>
      <w:r>
        <w:rPr>
          <w:i/>
        </w:rPr>
        <w:t>A</w:t>
      </w:r>
      <w:r w:rsidR="00277737" w:rsidRPr="00277737">
        <w:rPr>
          <w:i/>
        </w:rPr>
        <w:t xml:space="preserve">dapted from “legal mental capacity: </w:t>
      </w:r>
      <w:r>
        <w:rPr>
          <w:i/>
        </w:rPr>
        <w:t>a</w:t>
      </w:r>
      <w:r w:rsidR="00277737" w:rsidRPr="00277737">
        <w:rPr>
          <w:i/>
        </w:rPr>
        <w:t xml:space="preserve"> </w:t>
      </w:r>
      <w:r>
        <w:rPr>
          <w:i/>
        </w:rPr>
        <w:t>p</w:t>
      </w:r>
      <w:r w:rsidR="00277737" w:rsidRPr="00277737">
        <w:rPr>
          <w:i/>
        </w:rPr>
        <w:t xml:space="preserve">sychiatrist’s </w:t>
      </w:r>
      <w:r>
        <w:rPr>
          <w:i/>
        </w:rPr>
        <w:t>p</w:t>
      </w:r>
      <w:bookmarkStart w:id="0" w:name="_GoBack"/>
      <w:bookmarkEnd w:id="0"/>
      <w:r w:rsidR="00277737" w:rsidRPr="00277737">
        <w:rPr>
          <w:i/>
        </w:rPr>
        <w:t xml:space="preserve">erspective” by Patrick Fitzsimons, M.D., San Francisco Attorney article, </w:t>
      </w:r>
      <w:proofErr w:type="gramStart"/>
      <w:r w:rsidR="00277737" w:rsidRPr="00277737">
        <w:rPr>
          <w:i/>
        </w:rPr>
        <w:t>Winter</w:t>
      </w:r>
      <w:proofErr w:type="gramEnd"/>
      <w:r w:rsidR="00277737" w:rsidRPr="00277737">
        <w:rPr>
          <w:i/>
        </w:rPr>
        <w:t xml:space="preserve"> 2009</w:t>
      </w:r>
    </w:p>
    <w:p w:rsidR="00277737" w:rsidRPr="00277737" w:rsidRDefault="00277737" w:rsidP="00277737">
      <w:pPr>
        <w:widowControl w:val="0"/>
        <w:autoSpaceDE w:val="0"/>
        <w:autoSpaceDN w:val="0"/>
        <w:adjustRightInd w:val="0"/>
        <w:spacing w:line="276" w:lineRule="auto"/>
        <w:ind w:left="360"/>
        <w:rPr>
          <w:sz w:val="28"/>
          <w:szCs w:val="28"/>
        </w:rPr>
      </w:pPr>
    </w:p>
    <w:p w:rsidR="00184F39" w:rsidRPr="00277737" w:rsidRDefault="0039771B" w:rsidP="00277737">
      <w:pPr>
        <w:spacing w:line="276" w:lineRule="auto"/>
        <w:ind w:left="1140"/>
        <w:rPr>
          <w:sz w:val="28"/>
          <w:szCs w:val="28"/>
        </w:rPr>
      </w:pPr>
      <w:proofErr w:type="gramStart"/>
      <w:r w:rsidRPr="00277737">
        <w:rPr>
          <w:sz w:val="28"/>
          <w:szCs w:val="28"/>
        </w:rPr>
        <w:t xml:space="preserve">Mental disorders </w:t>
      </w:r>
      <w:r w:rsidR="00277737" w:rsidRPr="00277737">
        <w:rPr>
          <w:sz w:val="28"/>
          <w:szCs w:val="28"/>
        </w:rPr>
        <w:t>such as</w:t>
      </w:r>
      <w:r w:rsidRPr="00277737">
        <w:rPr>
          <w:sz w:val="28"/>
          <w:szCs w:val="28"/>
        </w:rPr>
        <w:t xml:space="preserve"> dementia, depression, schizophrenia, bipolar disorder, and substance abuse.</w:t>
      </w:r>
      <w:proofErr w:type="gramEnd"/>
      <w:r w:rsidRPr="00277737">
        <w:rPr>
          <w:sz w:val="28"/>
          <w:szCs w:val="28"/>
        </w:rPr>
        <w:t xml:space="preserve">  </w:t>
      </w:r>
    </w:p>
    <w:p w:rsidR="00277737" w:rsidRPr="00277737" w:rsidRDefault="00277737" w:rsidP="00277737">
      <w:pPr>
        <w:spacing w:line="276" w:lineRule="auto"/>
        <w:ind w:left="1140"/>
        <w:rPr>
          <w:sz w:val="28"/>
          <w:szCs w:val="28"/>
        </w:rPr>
      </w:pPr>
    </w:p>
    <w:p w:rsidR="0039771B" w:rsidRPr="00277737" w:rsidRDefault="0039771B" w:rsidP="00277737">
      <w:pPr>
        <w:spacing w:line="276" w:lineRule="auto"/>
        <w:ind w:left="1140"/>
        <w:rPr>
          <w:sz w:val="28"/>
          <w:szCs w:val="28"/>
        </w:rPr>
      </w:pPr>
      <w:r w:rsidRPr="00277737">
        <w:rPr>
          <w:sz w:val="28"/>
          <w:szCs w:val="28"/>
        </w:rPr>
        <w:t>History of medical or neurological disorder that may cause mental impairment, e.g. stroke;</w:t>
      </w:r>
    </w:p>
    <w:p w:rsidR="0039771B" w:rsidRPr="00277737" w:rsidRDefault="0039771B" w:rsidP="00277737">
      <w:pPr>
        <w:spacing w:line="276" w:lineRule="auto"/>
        <w:rPr>
          <w:sz w:val="28"/>
          <w:szCs w:val="28"/>
        </w:rPr>
      </w:pPr>
    </w:p>
    <w:p w:rsidR="0039771B" w:rsidRPr="00277737" w:rsidRDefault="00277737" w:rsidP="00277737">
      <w:pPr>
        <w:spacing w:line="276" w:lineRule="auto"/>
        <w:ind w:left="1140"/>
        <w:rPr>
          <w:sz w:val="28"/>
          <w:szCs w:val="28"/>
        </w:rPr>
      </w:pPr>
      <w:r w:rsidRPr="00277737">
        <w:rPr>
          <w:sz w:val="28"/>
          <w:szCs w:val="28"/>
        </w:rPr>
        <w:t xml:space="preserve">Report by </w:t>
      </w:r>
      <w:r w:rsidR="0039771B" w:rsidRPr="00277737">
        <w:rPr>
          <w:sz w:val="28"/>
          <w:szCs w:val="28"/>
        </w:rPr>
        <w:t>caregiver of symptoms or signs of a disorder;</w:t>
      </w:r>
    </w:p>
    <w:p w:rsidR="0039771B" w:rsidRPr="00277737" w:rsidRDefault="0039771B" w:rsidP="00277737">
      <w:pPr>
        <w:spacing w:line="276" w:lineRule="auto"/>
        <w:rPr>
          <w:sz w:val="28"/>
          <w:szCs w:val="28"/>
        </w:rPr>
      </w:pPr>
    </w:p>
    <w:p w:rsidR="0039771B" w:rsidRPr="00277737" w:rsidRDefault="0039771B" w:rsidP="00277737">
      <w:pPr>
        <w:spacing w:line="276" w:lineRule="auto"/>
        <w:ind w:left="1140"/>
        <w:rPr>
          <w:sz w:val="28"/>
          <w:szCs w:val="28"/>
        </w:rPr>
      </w:pPr>
      <w:r w:rsidRPr="00277737">
        <w:rPr>
          <w:sz w:val="28"/>
          <w:szCs w:val="28"/>
        </w:rPr>
        <w:t>Marked decline in functioning; marked personality change;</w:t>
      </w:r>
    </w:p>
    <w:p w:rsidR="0039771B" w:rsidRPr="00277737" w:rsidRDefault="0039771B" w:rsidP="00277737">
      <w:pPr>
        <w:spacing w:line="276" w:lineRule="auto"/>
        <w:rPr>
          <w:sz w:val="28"/>
          <w:szCs w:val="28"/>
        </w:rPr>
      </w:pPr>
    </w:p>
    <w:p w:rsidR="0039771B" w:rsidRPr="00277737" w:rsidRDefault="0039771B" w:rsidP="00277737">
      <w:pPr>
        <w:spacing w:line="276" w:lineRule="auto"/>
        <w:ind w:left="1140"/>
        <w:rPr>
          <w:sz w:val="28"/>
          <w:szCs w:val="28"/>
        </w:rPr>
      </w:pPr>
      <w:r w:rsidRPr="00277737">
        <w:rPr>
          <w:sz w:val="28"/>
          <w:szCs w:val="28"/>
        </w:rPr>
        <w:t>Troubling actions or decisions out of the ordinary;</w:t>
      </w:r>
    </w:p>
    <w:p w:rsidR="0039771B" w:rsidRPr="00277737" w:rsidRDefault="0039771B" w:rsidP="00277737">
      <w:pPr>
        <w:spacing w:line="276" w:lineRule="auto"/>
        <w:rPr>
          <w:sz w:val="28"/>
          <w:szCs w:val="28"/>
        </w:rPr>
      </w:pPr>
    </w:p>
    <w:p w:rsidR="0039771B" w:rsidRPr="00277737" w:rsidRDefault="0039771B" w:rsidP="00277737">
      <w:pPr>
        <w:spacing w:line="276" w:lineRule="auto"/>
        <w:ind w:left="1140"/>
        <w:rPr>
          <w:sz w:val="28"/>
          <w:szCs w:val="28"/>
        </w:rPr>
      </w:pPr>
      <w:r w:rsidRPr="00277737">
        <w:rPr>
          <w:sz w:val="28"/>
          <w:szCs w:val="28"/>
        </w:rPr>
        <w:t>Suspicious circumstances</w:t>
      </w:r>
      <w:r w:rsidR="00AC69D5" w:rsidRPr="00277737">
        <w:rPr>
          <w:sz w:val="28"/>
          <w:szCs w:val="28"/>
        </w:rPr>
        <w:t xml:space="preserve"> such as potential exploitation of client;</w:t>
      </w:r>
    </w:p>
    <w:p w:rsidR="00AC69D5" w:rsidRPr="00277737" w:rsidRDefault="00AC69D5" w:rsidP="00277737">
      <w:pPr>
        <w:spacing w:line="276" w:lineRule="auto"/>
        <w:rPr>
          <w:sz w:val="28"/>
          <w:szCs w:val="28"/>
        </w:rPr>
      </w:pPr>
    </w:p>
    <w:p w:rsidR="00AC69D5" w:rsidRPr="00277737" w:rsidRDefault="00AC69D5" w:rsidP="00277737">
      <w:pPr>
        <w:spacing w:line="276" w:lineRule="auto"/>
        <w:ind w:left="1140"/>
        <w:rPr>
          <w:sz w:val="28"/>
          <w:szCs w:val="28"/>
        </w:rPr>
      </w:pPr>
      <w:r w:rsidRPr="00277737">
        <w:rPr>
          <w:sz w:val="28"/>
          <w:szCs w:val="28"/>
        </w:rPr>
        <w:t>Client confusion on interview, beyond normal memory loss</w:t>
      </w:r>
      <w:r w:rsidR="002F2EA6">
        <w:rPr>
          <w:sz w:val="28"/>
          <w:szCs w:val="28"/>
        </w:rPr>
        <w:t>.</w:t>
      </w:r>
    </w:p>
    <w:p w:rsidR="00184F39" w:rsidRPr="00277737" w:rsidRDefault="00184F39" w:rsidP="00277737">
      <w:pPr>
        <w:pStyle w:val="ListParagraph"/>
        <w:spacing w:line="276" w:lineRule="auto"/>
        <w:ind w:left="1140"/>
        <w:rPr>
          <w:sz w:val="28"/>
          <w:szCs w:val="28"/>
        </w:rPr>
      </w:pPr>
    </w:p>
    <w:p w:rsidR="00184F39" w:rsidRPr="00277737" w:rsidRDefault="00184F39" w:rsidP="00277737">
      <w:pPr>
        <w:pStyle w:val="ListParagraph"/>
        <w:spacing w:line="276" w:lineRule="auto"/>
        <w:ind w:left="1140"/>
        <w:rPr>
          <w:sz w:val="28"/>
          <w:szCs w:val="28"/>
        </w:rPr>
      </w:pPr>
    </w:p>
    <w:sectPr w:rsidR="00184F39" w:rsidRPr="00277737" w:rsidSect="00F24453">
      <w:footerReference w:type="default" r:id="rId8"/>
      <w:pgSz w:w="12240" w:h="15840"/>
      <w:pgMar w:top="1440" w:right="1800" w:bottom="1440" w:left="18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3A" w:rsidRDefault="00B8003A" w:rsidP="00DB68E6">
      <w:r>
        <w:separator/>
      </w:r>
    </w:p>
  </w:endnote>
  <w:endnote w:type="continuationSeparator" w:id="0">
    <w:p w:rsidR="00B8003A" w:rsidRDefault="00B8003A" w:rsidP="00DB68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3A" w:rsidRDefault="00B8003A" w:rsidP="00DB68E6">
    <w:pPr>
      <w:pStyle w:val="Footer"/>
      <w:jc w:val="center"/>
    </w:pPr>
    <w:r>
      <w:t xml:space="preserve">Page </w:t>
    </w:r>
    <w:fldSimple w:instr=" PAGE ">
      <w:r w:rsidR="000B48A7">
        <w:rPr>
          <w:noProof/>
        </w:rPr>
        <w:t>4</w:t>
      </w:r>
    </w:fldSimple>
    <w:r>
      <w:t xml:space="preserve"> of </w:t>
    </w:r>
    <w:fldSimple w:instr=" NUMPAGES ">
      <w:r w:rsidR="000B48A7">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3A" w:rsidRDefault="00B8003A" w:rsidP="00DB68E6">
      <w:r>
        <w:separator/>
      </w:r>
    </w:p>
  </w:footnote>
  <w:footnote w:type="continuationSeparator" w:id="0">
    <w:p w:rsidR="00B8003A" w:rsidRDefault="00B8003A" w:rsidP="00DB68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677D3"/>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2B3D06DF"/>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nsid w:val="331D2E35"/>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nsid w:val="406E04AB"/>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nsid w:val="48052CA6"/>
    <w:multiLevelType w:val="hybridMultilevel"/>
    <w:tmpl w:val="73F61FB8"/>
    <w:lvl w:ilvl="0" w:tplc="F668B84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58810546"/>
    <w:multiLevelType w:val="hybridMultilevel"/>
    <w:tmpl w:val="FE2C9B00"/>
    <w:lvl w:ilvl="0" w:tplc="6FFC9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B321A"/>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
    <w:nsid w:val="609C01E4"/>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nsid w:val="620817BD"/>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nsid w:val="65F35B2F"/>
    <w:multiLevelType w:val="multilevel"/>
    <w:tmpl w:val="73F61FB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nsid w:val="6F153A2C"/>
    <w:multiLevelType w:val="hybridMultilevel"/>
    <w:tmpl w:val="087E1842"/>
    <w:lvl w:ilvl="0" w:tplc="428A02C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8"/>
  </w:num>
  <w:num w:numId="5">
    <w:abstractNumId w:val="9"/>
  </w:num>
  <w:num w:numId="6">
    <w:abstractNumId w:val="3"/>
  </w:num>
  <w:num w:numId="7">
    <w:abstractNumId w:val="0"/>
  </w:num>
  <w:num w:numId="8">
    <w:abstractNumId w:val="6"/>
  </w:num>
  <w:num w:numId="9">
    <w:abstractNumId w:val="1"/>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A96790"/>
    <w:rsid w:val="00070B24"/>
    <w:rsid w:val="0008092C"/>
    <w:rsid w:val="000B48A7"/>
    <w:rsid w:val="00101442"/>
    <w:rsid w:val="00161665"/>
    <w:rsid w:val="00184F39"/>
    <w:rsid w:val="001C30A4"/>
    <w:rsid w:val="00227100"/>
    <w:rsid w:val="00277737"/>
    <w:rsid w:val="002F2EA6"/>
    <w:rsid w:val="00327111"/>
    <w:rsid w:val="0039771B"/>
    <w:rsid w:val="003C4675"/>
    <w:rsid w:val="004C2767"/>
    <w:rsid w:val="005652BF"/>
    <w:rsid w:val="0059141D"/>
    <w:rsid w:val="005D2B85"/>
    <w:rsid w:val="00607F2B"/>
    <w:rsid w:val="006938B3"/>
    <w:rsid w:val="007D7E27"/>
    <w:rsid w:val="007F4493"/>
    <w:rsid w:val="008C4CBB"/>
    <w:rsid w:val="00942C91"/>
    <w:rsid w:val="0098592B"/>
    <w:rsid w:val="009A0E6F"/>
    <w:rsid w:val="00A2758E"/>
    <w:rsid w:val="00A461EA"/>
    <w:rsid w:val="00A96790"/>
    <w:rsid w:val="00AC69D5"/>
    <w:rsid w:val="00B8003A"/>
    <w:rsid w:val="00C10CEA"/>
    <w:rsid w:val="00D71E04"/>
    <w:rsid w:val="00D96002"/>
    <w:rsid w:val="00DB68E6"/>
    <w:rsid w:val="00DD7FBD"/>
    <w:rsid w:val="00F24453"/>
    <w:rsid w:val="00FA6F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2B"/>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90"/>
    <w:pPr>
      <w:ind w:left="720"/>
      <w:contextualSpacing/>
    </w:pPr>
  </w:style>
  <w:style w:type="character" w:customStyle="1" w:styleId="documentbody">
    <w:name w:val="documentbody"/>
    <w:basedOn w:val="DefaultParagraphFont"/>
    <w:rsid w:val="00184F39"/>
  </w:style>
  <w:style w:type="character" w:styleId="Strong">
    <w:name w:val="Strong"/>
    <w:basedOn w:val="DefaultParagraphFont"/>
    <w:qFormat/>
    <w:rsid w:val="00184F39"/>
    <w:rPr>
      <w:b/>
    </w:rPr>
  </w:style>
  <w:style w:type="character" w:styleId="Emphasis">
    <w:name w:val="Emphasis"/>
    <w:uiPriority w:val="20"/>
    <w:qFormat/>
    <w:rsid w:val="001C30A4"/>
    <w:rPr>
      <w:i/>
    </w:rPr>
  </w:style>
  <w:style w:type="character" w:customStyle="1" w:styleId="costarpage">
    <w:name w:val="co_starpage"/>
    <w:basedOn w:val="DefaultParagraphFont"/>
    <w:rsid w:val="001C30A4"/>
  </w:style>
  <w:style w:type="paragraph" w:styleId="Header">
    <w:name w:val="header"/>
    <w:basedOn w:val="Normal"/>
    <w:link w:val="HeaderChar"/>
    <w:uiPriority w:val="99"/>
    <w:unhideWhenUsed/>
    <w:rsid w:val="00DB68E6"/>
    <w:pPr>
      <w:tabs>
        <w:tab w:val="center" w:pos="4320"/>
        <w:tab w:val="right" w:pos="8640"/>
      </w:tabs>
    </w:pPr>
  </w:style>
  <w:style w:type="character" w:customStyle="1" w:styleId="HeaderChar">
    <w:name w:val="Header Char"/>
    <w:basedOn w:val="DefaultParagraphFont"/>
    <w:link w:val="Header"/>
    <w:uiPriority w:val="99"/>
    <w:rsid w:val="00DB68E6"/>
    <w:rPr>
      <w:sz w:val="24"/>
      <w:szCs w:val="24"/>
      <w:lang w:eastAsia="en-US"/>
    </w:rPr>
  </w:style>
  <w:style w:type="paragraph" w:styleId="Footer">
    <w:name w:val="footer"/>
    <w:basedOn w:val="Normal"/>
    <w:link w:val="FooterChar"/>
    <w:uiPriority w:val="99"/>
    <w:unhideWhenUsed/>
    <w:rsid w:val="00DB68E6"/>
    <w:pPr>
      <w:tabs>
        <w:tab w:val="center" w:pos="4320"/>
        <w:tab w:val="right" w:pos="8640"/>
      </w:tabs>
    </w:pPr>
  </w:style>
  <w:style w:type="character" w:customStyle="1" w:styleId="FooterChar">
    <w:name w:val="Footer Char"/>
    <w:basedOn w:val="DefaultParagraphFont"/>
    <w:link w:val="Footer"/>
    <w:uiPriority w:val="99"/>
    <w:rsid w:val="00DB68E6"/>
    <w:rPr>
      <w:sz w:val="24"/>
      <w:szCs w:val="24"/>
      <w:lang w:eastAsia="en-US"/>
    </w:rPr>
  </w:style>
  <w:style w:type="character" w:customStyle="1" w:styleId="cosearchterm">
    <w:name w:val="co_searchterm"/>
    <w:basedOn w:val="DefaultParagraphFont"/>
    <w:rsid w:val="00F24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90"/>
    <w:pPr>
      <w:ind w:left="720"/>
      <w:contextualSpacing/>
    </w:pPr>
  </w:style>
  <w:style w:type="character" w:customStyle="1" w:styleId="documentbody">
    <w:name w:val="documentbody"/>
    <w:basedOn w:val="DefaultParagraphFont"/>
    <w:rsid w:val="00184F39"/>
  </w:style>
  <w:style w:type="character" w:styleId="Strong">
    <w:name w:val="Strong"/>
    <w:basedOn w:val="DefaultParagraphFont"/>
    <w:qFormat/>
    <w:rsid w:val="00184F39"/>
    <w:rPr>
      <w:b/>
    </w:rPr>
  </w:style>
  <w:style w:type="character" w:styleId="Emphasis">
    <w:name w:val="Emphasis"/>
    <w:uiPriority w:val="20"/>
    <w:qFormat/>
    <w:rsid w:val="001C30A4"/>
    <w:rPr>
      <w:i/>
    </w:rPr>
  </w:style>
  <w:style w:type="character" w:customStyle="1" w:styleId="costarpage">
    <w:name w:val="co_starpage"/>
    <w:basedOn w:val="DefaultParagraphFont"/>
    <w:rsid w:val="001C30A4"/>
  </w:style>
  <w:style w:type="paragraph" w:styleId="Header">
    <w:name w:val="header"/>
    <w:basedOn w:val="Normal"/>
    <w:link w:val="HeaderChar"/>
    <w:uiPriority w:val="99"/>
    <w:unhideWhenUsed/>
    <w:rsid w:val="00DB68E6"/>
    <w:pPr>
      <w:tabs>
        <w:tab w:val="center" w:pos="4320"/>
        <w:tab w:val="right" w:pos="8640"/>
      </w:tabs>
    </w:pPr>
  </w:style>
  <w:style w:type="character" w:customStyle="1" w:styleId="HeaderChar">
    <w:name w:val="Header Char"/>
    <w:basedOn w:val="DefaultParagraphFont"/>
    <w:link w:val="Header"/>
    <w:uiPriority w:val="99"/>
    <w:rsid w:val="00DB68E6"/>
    <w:rPr>
      <w:sz w:val="24"/>
      <w:szCs w:val="24"/>
      <w:lang w:eastAsia="en-US"/>
    </w:rPr>
  </w:style>
  <w:style w:type="paragraph" w:styleId="Footer">
    <w:name w:val="footer"/>
    <w:basedOn w:val="Normal"/>
    <w:link w:val="FooterChar"/>
    <w:uiPriority w:val="99"/>
    <w:unhideWhenUsed/>
    <w:rsid w:val="00DB68E6"/>
    <w:pPr>
      <w:tabs>
        <w:tab w:val="center" w:pos="4320"/>
        <w:tab w:val="right" w:pos="8640"/>
      </w:tabs>
    </w:pPr>
  </w:style>
  <w:style w:type="character" w:customStyle="1" w:styleId="FooterChar">
    <w:name w:val="Footer Char"/>
    <w:basedOn w:val="DefaultParagraphFont"/>
    <w:link w:val="Footer"/>
    <w:uiPriority w:val="99"/>
    <w:rsid w:val="00DB68E6"/>
    <w:rPr>
      <w:sz w:val="24"/>
      <w:szCs w:val="24"/>
      <w:lang w:eastAsia="en-US"/>
    </w:rPr>
  </w:style>
  <w:style w:type="character" w:customStyle="1" w:styleId="cosearchterm">
    <w:name w:val="co_searchterm"/>
    <w:basedOn w:val="DefaultParagraphFont"/>
    <w:rsid w:val="00F24453"/>
  </w:style>
</w:styles>
</file>

<file path=word/webSettings.xml><?xml version="1.0" encoding="utf-8"?>
<w:webSettings xmlns:r="http://schemas.openxmlformats.org/officeDocument/2006/relationships" xmlns:w="http://schemas.openxmlformats.org/wordprocessingml/2006/main">
  <w:divs>
    <w:div w:id="34932527">
      <w:bodyDiv w:val="1"/>
      <w:marLeft w:val="0"/>
      <w:marRight w:val="0"/>
      <w:marTop w:val="0"/>
      <w:marBottom w:val="0"/>
      <w:divBdr>
        <w:top w:val="none" w:sz="0" w:space="0" w:color="auto"/>
        <w:left w:val="none" w:sz="0" w:space="0" w:color="auto"/>
        <w:bottom w:val="none" w:sz="0" w:space="0" w:color="auto"/>
        <w:right w:val="none" w:sz="0" w:space="0" w:color="auto"/>
      </w:divBdr>
      <w:divsChild>
        <w:div w:id="1497109095">
          <w:marLeft w:val="0"/>
          <w:marRight w:val="0"/>
          <w:marTop w:val="0"/>
          <w:marBottom w:val="0"/>
          <w:divBdr>
            <w:top w:val="none" w:sz="0" w:space="0" w:color="auto"/>
            <w:left w:val="none" w:sz="0" w:space="0" w:color="auto"/>
            <w:bottom w:val="none" w:sz="0" w:space="0" w:color="auto"/>
            <w:right w:val="none" w:sz="0" w:space="0" w:color="auto"/>
          </w:divBdr>
          <w:divsChild>
            <w:div w:id="1701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5478">
      <w:bodyDiv w:val="1"/>
      <w:marLeft w:val="0"/>
      <w:marRight w:val="0"/>
      <w:marTop w:val="0"/>
      <w:marBottom w:val="0"/>
      <w:divBdr>
        <w:top w:val="none" w:sz="0" w:space="0" w:color="auto"/>
        <w:left w:val="none" w:sz="0" w:space="0" w:color="auto"/>
        <w:bottom w:val="none" w:sz="0" w:space="0" w:color="auto"/>
        <w:right w:val="none" w:sz="0" w:space="0" w:color="auto"/>
      </w:divBdr>
      <w:divsChild>
        <w:div w:id="1337726581">
          <w:marLeft w:val="0"/>
          <w:marRight w:val="0"/>
          <w:marTop w:val="0"/>
          <w:marBottom w:val="0"/>
          <w:divBdr>
            <w:top w:val="none" w:sz="0" w:space="0" w:color="auto"/>
            <w:left w:val="none" w:sz="0" w:space="0" w:color="auto"/>
            <w:bottom w:val="none" w:sz="0" w:space="0" w:color="auto"/>
            <w:right w:val="none" w:sz="0" w:space="0" w:color="auto"/>
          </w:divBdr>
          <w:divsChild>
            <w:div w:id="1118525216">
              <w:marLeft w:val="0"/>
              <w:marRight w:val="0"/>
              <w:marTop w:val="0"/>
              <w:marBottom w:val="0"/>
              <w:divBdr>
                <w:top w:val="none" w:sz="0" w:space="0" w:color="auto"/>
                <w:left w:val="none" w:sz="0" w:space="0" w:color="auto"/>
                <w:bottom w:val="none" w:sz="0" w:space="0" w:color="auto"/>
                <w:right w:val="none" w:sz="0" w:space="0" w:color="auto"/>
              </w:divBdr>
              <w:divsChild>
                <w:div w:id="1220940609">
                  <w:marLeft w:val="0"/>
                  <w:marRight w:val="0"/>
                  <w:marTop w:val="0"/>
                  <w:marBottom w:val="0"/>
                  <w:divBdr>
                    <w:top w:val="none" w:sz="0" w:space="0" w:color="auto"/>
                    <w:left w:val="none" w:sz="0" w:space="0" w:color="auto"/>
                    <w:bottom w:val="none" w:sz="0" w:space="0" w:color="auto"/>
                    <w:right w:val="none" w:sz="0" w:space="0" w:color="auto"/>
                  </w:divBdr>
                </w:div>
              </w:divsChild>
            </w:div>
            <w:div w:id="721440951">
              <w:marLeft w:val="0"/>
              <w:marRight w:val="0"/>
              <w:marTop w:val="240"/>
              <w:marBottom w:val="0"/>
              <w:divBdr>
                <w:top w:val="none" w:sz="0" w:space="0" w:color="auto"/>
                <w:left w:val="none" w:sz="0" w:space="0" w:color="auto"/>
                <w:bottom w:val="none" w:sz="0" w:space="0" w:color="auto"/>
                <w:right w:val="none" w:sz="0" w:space="0" w:color="auto"/>
              </w:divBdr>
              <w:divsChild>
                <w:div w:id="1320959859">
                  <w:marLeft w:val="0"/>
                  <w:marRight w:val="0"/>
                  <w:marTop w:val="0"/>
                  <w:marBottom w:val="0"/>
                  <w:divBdr>
                    <w:top w:val="none" w:sz="0" w:space="0" w:color="auto"/>
                    <w:left w:val="none" w:sz="0" w:space="0" w:color="auto"/>
                    <w:bottom w:val="none" w:sz="0" w:space="0" w:color="auto"/>
                    <w:right w:val="none" w:sz="0" w:space="0" w:color="auto"/>
                  </w:divBdr>
                  <w:divsChild>
                    <w:div w:id="2983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798">
              <w:marLeft w:val="0"/>
              <w:marRight w:val="0"/>
              <w:marTop w:val="240"/>
              <w:marBottom w:val="0"/>
              <w:divBdr>
                <w:top w:val="none" w:sz="0" w:space="0" w:color="auto"/>
                <w:left w:val="none" w:sz="0" w:space="0" w:color="auto"/>
                <w:bottom w:val="none" w:sz="0" w:space="0" w:color="auto"/>
                <w:right w:val="none" w:sz="0" w:space="0" w:color="auto"/>
              </w:divBdr>
              <w:divsChild>
                <w:div w:id="306009476">
                  <w:marLeft w:val="0"/>
                  <w:marRight w:val="0"/>
                  <w:marTop w:val="0"/>
                  <w:marBottom w:val="0"/>
                  <w:divBdr>
                    <w:top w:val="none" w:sz="0" w:space="0" w:color="auto"/>
                    <w:left w:val="none" w:sz="0" w:space="0" w:color="auto"/>
                    <w:bottom w:val="none" w:sz="0" w:space="0" w:color="auto"/>
                    <w:right w:val="none" w:sz="0" w:space="0" w:color="auto"/>
                  </w:divBdr>
                  <w:divsChild>
                    <w:div w:id="6176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2990">
              <w:marLeft w:val="0"/>
              <w:marRight w:val="0"/>
              <w:marTop w:val="240"/>
              <w:marBottom w:val="0"/>
              <w:divBdr>
                <w:top w:val="none" w:sz="0" w:space="0" w:color="auto"/>
                <w:left w:val="none" w:sz="0" w:space="0" w:color="auto"/>
                <w:bottom w:val="none" w:sz="0" w:space="0" w:color="auto"/>
                <w:right w:val="none" w:sz="0" w:space="0" w:color="auto"/>
              </w:divBdr>
              <w:divsChild>
                <w:div w:id="1782992230">
                  <w:marLeft w:val="0"/>
                  <w:marRight w:val="0"/>
                  <w:marTop w:val="0"/>
                  <w:marBottom w:val="0"/>
                  <w:divBdr>
                    <w:top w:val="none" w:sz="0" w:space="0" w:color="auto"/>
                    <w:left w:val="none" w:sz="0" w:space="0" w:color="auto"/>
                    <w:bottom w:val="none" w:sz="0" w:space="0" w:color="auto"/>
                    <w:right w:val="none" w:sz="0" w:space="0" w:color="auto"/>
                  </w:divBdr>
                  <w:divsChild>
                    <w:div w:id="104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00231">
      <w:bodyDiv w:val="1"/>
      <w:marLeft w:val="0"/>
      <w:marRight w:val="0"/>
      <w:marTop w:val="0"/>
      <w:marBottom w:val="0"/>
      <w:divBdr>
        <w:top w:val="none" w:sz="0" w:space="0" w:color="auto"/>
        <w:left w:val="none" w:sz="0" w:space="0" w:color="auto"/>
        <w:bottom w:val="none" w:sz="0" w:space="0" w:color="auto"/>
        <w:right w:val="none" w:sz="0" w:space="0" w:color="auto"/>
      </w:divBdr>
      <w:divsChild>
        <w:div w:id="1600485632">
          <w:marLeft w:val="0"/>
          <w:marRight w:val="0"/>
          <w:marTop w:val="0"/>
          <w:marBottom w:val="0"/>
          <w:divBdr>
            <w:top w:val="none" w:sz="0" w:space="0" w:color="auto"/>
            <w:left w:val="none" w:sz="0" w:space="0" w:color="auto"/>
            <w:bottom w:val="none" w:sz="0" w:space="0" w:color="auto"/>
            <w:right w:val="none" w:sz="0" w:space="0" w:color="auto"/>
          </w:divBdr>
          <w:divsChild>
            <w:div w:id="52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24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087">
          <w:marLeft w:val="0"/>
          <w:marRight w:val="0"/>
          <w:marTop w:val="0"/>
          <w:marBottom w:val="0"/>
          <w:divBdr>
            <w:top w:val="none" w:sz="0" w:space="0" w:color="auto"/>
            <w:left w:val="none" w:sz="0" w:space="0" w:color="auto"/>
            <w:bottom w:val="none" w:sz="0" w:space="0" w:color="auto"/>
            <w:right w:val="none" w:sz="0" w:space="0" w:color="auto"/>
          </w:divBdr>
          <w:divsChild>
            <w:div w:id="902908835">
              <w:marLeft w:val="0"/>
              <w:marRight w:val="0"/>
              <w:marTop w:val="0"/>
              <w:marBottom w:val="0"/>
              <w:divBdr>
                <w:top w:val="none" w:sz="0" w:space="0" w:color="auto"/>
                <w:left w:val="none" w:sz="0" w:space="0" w:color="auto"/>
                <w:bottom w:val="none" w:sz="0" w:space="0" w:color="auto"/>
                <w:right w:val="none" w:sz="0" w:space="0" w:color="auto"/>
              </w:divBdr>
            </w:div>
          </w:divsChild>
        </w:div>
        <w:div w:id="766972915">
          <w:marLeft w:val="0"/>
          <w:marRight w:val="0"/>
          <w:marTop w:val="0"/>
          <w:marBottom w:val="0"/>
          <w:divBdr>
            <w:top w:val="none" w:sz="0" w:space="0" w:color="auto"/>
            <w:left w:val="none" w:sz="0" w:space="0" w:color="auto"/>
            <w:bottom w:val="none" w:sz="0" w:space="0" w:color="auto"/>
            <w:right w:val="none" w:sz="0" w:space="0" w:color="auto"/>
          </w:divBdr>
          <w:divsChild>
            <w:div w:id="20666332">
              <w:marLeft w:val="0"/>
              <w:marRight w:val="0"/>
              <w:marTop w:val="0"/>
              <w:marBottom w:val="0"/>
              <w:divBdr>
                <w:top w:val="none" w:sz="0" w:space="0" w:color="auto"/>
                <w:left w:val="none" w:sz="0" w:space="0" w:color="auto"/>
                <w:bottom w:val="none" w:sz="0" w:space="0" w:color="auto"/>
                <w:right w:val="none" w:sz="0" w:space="0" w:color="auto"/>
              </w:divBdr>
              <w:divsChild>
                <w:div w:id="8197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3721">
          <w:marLeft w:val="0"/>
          <w:marRight w:val="0"/>
          <w:marTop w:val="0"/>
          <w:marBottom w:val="0"/>
          <w:divBdr>
            <w:top w:val="none" w:sz="0" w:space="0" w:color="auto"/>
            <w:left w:val="none" w:sz="0" w:space="0" w:color="auto"/>
            <w:bottom w:val="none" w:sz="0" w:space="0" w:color="auto"/>
            <w:right w:val="none" w:sz="0" w:space="0" w:color="auto"/>
          </w:divBdr>
          <w:divsChild>
            <w:div w:id="1450010258">
              <w:marLeft w:val="0"/>
              <w:marRight w:val="0"/>
              <w:marTop w:val="0"/>
              <w:marBottom w:val="0"/>
              <w:divBdr>
                <w:top w:val="none" w:sz="0" w:space="0" w:color="auto"/>
                <w:left w:val="none" w:sz="0" w:space="0" w:color="auto"/>
                <w:bottom w:val="none" w:sz="0" w:space="0" w:color="auto"/>
                <w:right w:val="none" w:sz="0" w:space="0" w:color="auto"/>
              </w:divBdr>
              <w:divsChild>
                <w:div w:id="19042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5976">
          <w:marLeft w:val="0"/>
          <w:marRight w:val="0"/>
          <w:marTop w:val="0"/>
          <w:marBottom w:val="0"/>
          <w:divBdr>
            <w:top w:val="none" w:sz="0" w:space="0" w:color="auto"/>
            <w:left w:val="none" w:sz="0" w:space="0" w:color="auto"/>
            <w:bottom w:val="none" w:sz="0" w:space="0" w:color="auto"/>
            <w:right w:val="none" w:sz="0" w:space="0" w:color="auto"/>
          </w:divBdr>
          <w:divsChild>
            <w:div w:id="169756249">
              <w:marLeft w:val="0"/>
              <w:marRight w:val="0"/>
              <w:marTop w:val="0"/>
              <w:marBottom w:val="0"/>
              <w:divBdr>
                <w:top w:val="none" w:sz="0" w:space="0" w:color="auto"/>
                <w:left w:val="none" w:sz="0" w:space="0" w:color="auto"/>
                <w:bottom w:val="none" w:sz="0" w:space="0" w:color="auto"/>
                <w:right w:val="none" w:sz="0" w:space="0" w:color="auto"/>
              </w:divBdr>
              <w:divsChild>
                <w:div w:id="1746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89FF-EC0F-41A3-9E83-0B99CFE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1188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Slatter</dc:creator>
  <cp:keywords/>
  <dc:description/>
  <cp:lastModifiedBy>Jennifer Schuster</cp:lastModifiedBy>
  <cp:revision>11</cp:revision>
  <cp:lastPrinted>2011-05-23T23:49:00Z</cp:lastPrinted>
  <dcterms:created xsi:type="dcterms:W3CDTF">2011-04-08T21:58:00Z</dcterms:created>
  <dcterms:modified xsi:type="dcterms:W3CDTF">2012-07-23T19:06:00Z</dcterms:modified>
</cp:coreProperties>
</file>